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8"/>
        <w:gridCol w:w="3599"/>
        <w:gridCol w:w="2851"/>
        <w:gridCol w:w="2657"/>
        <w:gridCol w:w="4308"/>
      </w:tblGrid>
      <w:tr w:rsidR="0038219E" w:rsidRPr="009E6CBD" w:rsidTr="00A22C74">
        <w:trPr>
          <w:trHeight w:val="625"/>
          <w:tblHeader/>
          <w:jc w:val="center"/>
        </w:trPr>
        <w:tc>
          <w:tcPr>
            <w:tcW w:w="1218" w:type="dxa"/>
            <w:vMerge w:val="restart"/>
            <w:shd w:val="clear" w:color="auto" w:fill="B8CCE4" w:themeFill="accent1" w:themeFillTint="66"/>
            <w:vAlign w:val="center"/>
            <w:hideMark/>
          </w:tcPr>
          <w:p w:rsidR="0038219E" w:rsidRPr="009E6CBD" w:rsidRDefault="009F4A89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</w:pPr>
            <w:r w:rsidRPr="009E6CBD"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  <w:t xml:space="preserve">Αι </w:t>
            </w:r>
            <w:r w:rsidR="0038219E" w:rsidRPr="009E6CBD"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  <w:t>ΥΠΟ-ΔΡΑΣΗΣ</w:t>
            </w:r>
          </w:p>
        </w:tc>
        <w:tc>
          <w:tcPr>
            <w:tcW w:w="3599" w:type="dxa"/>
            <w:vMerge w:val="restart"/>
            <w:shd w:val="clear" w:color="auto" w:fill="B8CCE4" w:themeFill="accent1" w:themeFillTint="66"/>
            <w:vAlign w:val="center"/>
            <w:hideMark/>
          </w:tcPr>
          <w:p w:rsidR="0038219E" w:rsidRPr="009E6CBD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</w:pPr>
            <w:r w:rsidRPr="009E6CBD"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  <w:t>ΤΙΤΛΟΣ ΥΠΟΔΡΑΣΗΣ</w:t>
            </w:r>
          </w:p>
        </w:tc>
        <w:tc>
          <w:tcPr>
            <w:tcW w:w="5508" w:type="dxa"/>
            <w:gridSpan w:val="2"/>
            <w:shd w:val="clear" w:color="auto" w:fill="B8CCE4" w:themeFill="accent1" w:themeFillTint="66"/>
            <w:vAlign w:val="center"/>
          </w:tcPr>
          <w:p w:rsidR="0038219E" w:rsidRPr="009E6CBD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</w:pPr>
            <w:r w:rsidRPr="009E6CBD"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  <w:t>ΝΟΜΙΚΗ ΒΑΣΗ</w:t>
            </w:r>
          </w:p>
        </w:tc>
        <w:tc>
          <w:tcPr>
            <w:tcW w:w="4308" w:type="dxa"/>
            <w:vMerge w:val="restart"/>
            <w:shd w:val="clear" w:color="auto" w:fill="B8CCE4" w:themeFill="accent1" w:themeFillTint="66"/>
            <w:vAlign w:val="center"/>
          </w:tcPr>
          <w:p w:rsidR="0038219E" w:rsidRPr="009E6CBD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</w:pPr>
            <w:bookmarkStart w:id="0" w:name="_GoBack"/>
            <w:r w:rsidRPr="009E6CBD"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  <w:t>ΜΕΓΕΘΟΣ ΕΠΙΧΕΙΡΗΣΗΣ</w:t>
            </w:r>
            <w:bookmarkEnd w:id="0"/>
          </w:p>
        </w:tc>
      </w:tr>
      <w:tr w:rsidR="0038219E" w:rsidRPr="009E6CBD" w:rsidTr="00A22C74">
        <w:trPr>
          <w:trHeight w:val="625"/>
          <w:tblHeader/>
          <w:jc w:val="center"/>
        </w:trPr>
        <w:tc>
          <w:tcPr>
            <w:tcW w:w="1218" w:type="dxa"/>
            <w:vMerge/>
            <w:shd w:val="clear" w:color="auto" w:fill="B8CCE4" w:themeFill="accent1" w:themeFillTint="66"/>
            <w:vAlign w:val="center"/>
          </w:tcPr>
          <w:p w:rsidR="0038219E" w:rsidRPr="009E6CBD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3599" w:type="dxa"/>
            <w:vMerge/>
            <w:shd w:val="clear" w:color="auto" w:fill="B8CCE4" w:themeFill="accent1" w:themeFillTint="66"/>
            <w:vAlign w:val="center"/>
          </w:tcPr>
          <w:p w:rsidR="0038219E" w:rsidRPr="009E6CBD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2851" w:type="dxa"/>
            <w:shd w:val="clear" w:color="auto" w:fill="B8CCE4" w:themeFill="accent1" w:themeFillTint="66"/>
            <w:vAlign w:val="center"/>
          </w:tcPr>
          <w:p w:rsidR="0038219E" w:rsidRPr="009E6CBD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</w:pPr>
            <w:r w:rsidRPr="009E6CBD"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  <w:t>ΕΠΙΛΕΞΙΜΟΤΗΤΑ ΥΠΟΔΡΑΣΗΣ</w:t>
            </w:r>
          </w:p>
        </w:tc>
        <w:tc>
          <w:tcPr>
            <w:tcW w:w="2657" w:type="dxa"/>
            <w:shd w:val="clear" w:color="auto" w:fill="B8CCE4" w:themeFill="accent1" w:themeFillTint="66"/>
            <w:vAlign w:val="center"/>
          </w:tcPr>
          <w:p w:rsidR="0038219E" w:rsidRPr="009E6CBD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</w:pPr>
            <w:r w:rsidRPr="009E6CBD"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  <w:t>ΚΑΘΕΣΤΩΣ ΕΝΙΣΧΥΣΗΣ</w:t>
            </w:r>
          </w:p>
        </w:tc>
        <w:tc>
          <w:tcPr>
            <w:tcW w:w="4308" w:type="dxa"/>
            <w:vMerge/>
            <w:shd w:val="clear" w:color="auto" w:fill="B8CCE4" w:themeFill="accent1" w:themeFillTint="66"/>
            <w:vAlign w:val="center"/>
          </w:tcPr>
          <w:p w:rsidR="0038219E" w:rsidRPr="009E6CBD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/>
                <w:bCs/>
                <w:color w:val="244061" w:themeColor="accent1" w:themeShade="80"/>
                <w:sz w:val="18"/>
                <w:szCs w:val="18"/>
              </w:rPr>
            </w:pPr>
          </w:p>
        </w:tc>
      </w:tr>
      <w:tr w:rsidR="0038219E" w:rsidRPr="00967D70" w:rsidTr="00967D70">
        <w:trPr>
          <w:trHeight w:val="1209"/>
          <w:jc w:val="center"/>
        </w:trPr>
        <w:tc>
          <w:tcPr>
            <w:tcW w:w="1218" w:type="dxa"/>
            <w:shd w:val="clear" w:color="auto" w:fill="auto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19.2.1.1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Μεταφορά γνώσεων &amp; ενημέρωσης στο γεωργικό και το δασικό τομέα</w:t>
            </w:r>
          </w:p>
        </w:tc>
        <w:tc>
          <w:tcPr>
            <w:tcW w:w="2851" w:type="dxa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1305/2013, άρθρο 14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951241" w:rsidRPr="00967D70" w:rsidRDefault="0095124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1407/2013 (δασικός τομέας) ή Κανονισμός (ΕΕ) 1305/2013, άρθρο 14 (γεωργικός τομέας)</w:t>
            </w:r>
          </w:p>
        </w:tc>
        <w:tc>
          <w:tcPr>
            <w:tcW w:w="4308" w:type="dxa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Πολύ Μικρές έως Μεσαίες Επιχειρήσεις</w:t>
            </w:r>
          </w:p>
        </w:tc>
      </w:tr>
      <w:tr w:rsidR="00DC37B1" w:rsidRPr="00967D70" w:rsidTr="00284FC6">
        <w:trPr>
          <w:trHeight w:val="836"/>
          <w:jc w:val="center"/>
        </w:trPr>
        <w:tc>
          <w:tcPr>
            <w:tcW w:w="1218" w:type="dxa"/>
            <w:shd w:val="clear" w:color="auto" w:fill="auto"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19.2.1.2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Μεταφορά γνώσεων &amp; ενημέρωσης σε ΜΜΕ αγροτικών περιοχών</w:t>
            </w:r>
          </w:p>
        </w:tc>
        <w:tc>
          <w:tcPr>
            <w:tcW w:w="2851" w:type="dxa"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1305/2013, άρθρο 14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DC37B1" w:rsidRPr="00967D70" w:rsidRDefault="009E6CBD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1407/2013</w:t>
            </w:r>
          </w:p>
        </w:tc>
        <w:tc>
          <w:tcPr>
            <w:tcW w:w="4308" w:type="dxa"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Πολύ Μικρές έως Μεσαίες Επιχειρήσεις</w:t>
            </w:r>
          </w:p>
        </w:tc>
      </w:tr>
      <w:tr w:rsidR="0038219E" w:rsidRPr="00967D70" w:rsidTr="00284FC6">
        <w:trPr>
          <w:trHeight w:val="1412"/>
          <w:jc w:val="center"/>
        </w:trPr>
        <w:tc>
          <w:tcPr>
            <w:tcW w:w="1218" w:type="dxa"/>
            <w:shd w:val="clear" w:color="auto" w:fill="auto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19.2.2.2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Ενίσχυση επενδύσεων στην μεταποίηση, εμπορία και/ή ανάπτυξη γεωργικών προϊόντων με αποτέλεσμα μη γεωργικό προϊόν για την εξυπηρέτηση ειδικών στόχων της τοπικής στρατηγικής.</w:t>
            </w:r>
          </w:p>
        </w:tc>
        <w:tc>
          <w:tcPr>
            <w:tcW w:w="2851" w:type="dxa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1305/2013, άρθρο 17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38219E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1407/2013</w:t>
            </w:r>
          </w:p>
          <w:p w:rsidR="00951241" w:rsidRPr="00967D70" w:rsidRDefault="0095124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4308" w:type="dxa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Πολύ Μικρές έως Μεγάλες Επιχειρήσεις</w:t>
            </w:r>
          </w:p>
        </w:tc>
      </w:tr>
      <w:tr w:rsidR="0038219E" w:rsidRPr="00967D70" w:rsidTr="00284FC6">
        <w:trPr>
          <w:trHeight w:val="982"/>
          <w:jc w:val="center"/>
        </w:trPr>
        <w:tc>
          <w:tcPr>
            <w:tcW w:w="1218" w:type="dxa"/>
            <w:shd w:val="clear" w:color="auto" w:fill="auto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19.2.2.3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Ενίσχυση επενδύσεων στον τομέα του τουρισμού με σκοπό την εξυπηρέτηση ειδικών στόχων της τοπικής στρατηγικής.</w:t>
            </w:r>
          </w:p>
        </w:tc>
        <w:tc>
          <w:tcPr>
            <w:tcW w:w="2851" w:type="dxa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1305/2013, άρθρο 19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1407/2013</w:t>
            </w:r>
          </w:p>
        </w:tc>
        <w:tc>
          <w:tcPr>
            <w:tcW w:w="4308" w:type="dxa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Πολύ Μικρές έως Μικρές Επιχειρήσεις</w:t>
            </w:r>
          </w:p>
        </w:tc>
      </w:tr>
      <w:tr w:rsidR="0038219E" w:rsidRPr="00967D70" w:rsidTr="00284FC6">
        <w:trPr>
          <w:trHeight w:val="1412"/>
          <w:jc w:val="center"/>
        </w:trPr>
        <w:tc>
          <w:tcPr>
            <w:tcW w:w="1218" w:type="dxa"/>
            <w:shd w:val="clear" w:color="auto" w:fill="auto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lastRenderedPageBreak/>
              <w:t>19.2.2.4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Ενίσχυση επενδύσεων στους τομείς της βιοτεχνίας, χειροτεχνίας, παραγωγής ειδών μετά την 1η μεταποίηση, και του εμπορίου με σκοπό την εξυπηρέτηση ειδικών στόχων της τοπικής στρατηγικής.</w:t>
            </w:r>
          </w:p>
        </w:tc>
        <w:tc>
          <w:tcPr>
            <w:tcW w:w="2851" w:type="dxa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1305/2013, άρθρο 19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1407/2013</w:t>
            </w:r>
          </w:p>
        </w:tc>
        <w:tc>
          <w:tcPr>
            <w:tcW w:w="4308" w:type="dxa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Πολύ Μικρές έως Μικρές Επιχειρήσεις</w:t>
            </w:r>
          </w:p>
        </w:tc>
      </w:tr>
      <w:tr w:rsidR="0038219E" w:rsidRPr="00967D70" w:rsidTr="00284FC6">
        <w:trPr>
          <w:trHeight w:val="824"/>
          <w:jc w:val="center"/>
        </w:trPr>
        <w:tc>
          <w:tcPr>
            <w:tcW w:w="1218" w:type="dxa"/>
            <w:vMerge w:val="restart"/>
            <w:shd w:val="clear" w:color="auto" w:fill="auto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19.2.2.6</w:t>
            </w:r>
          </w:p>
        </w:tc>
        <w:tc>
          <w:tcPr>
            <w:tcW w:w="3599" w:type="dxa"/>
            <w:vMerge w:val="restart"/>
            <w:shd w:val="clear" w:color="auto" w:fill="auto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 xml:space="preserve">Ενίσχυση επενδύσεων οικοτεχνίας και </w:t>
            </w:r>
            <w:proofErr w:type="spellStart"/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πολυλειτουργικών</w:t>
            </w:r>
            <w:proofErr w:type="spellEnd"/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 xml:space="preserve"> αγροκτημάτων με σκοπό την εξυπηρέτηση ειδικών στόχων της τοπικής στρατηγικής.</w:t>
            </w:r>
          </w:p>
        </w:tc>
        <w:tc>
          <w:tcPr>
            <w:tcW w:w="2851" w:type="dxa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1305/2013, άρθρο 17</w:t>
            </w:r>
          </w:p>
        </w:tc>
        <w:tc>
          <w:tcPr>
            <w:tcW w:w="2657" w:type="dxa"/>
            <w:vMerge w:val="restart"/>
            <w:shd w:val="clear" w:color="auto" w:fill="auto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1407/2013</w:t>
            </w:r>
          </w:p>
        </w:tc>
        <w:tc>
          <w:tcPr>
            <w:tcW w:w="4308" w:type="dxa"/>
            <w:vAlign w:val="center"/>
          </w:tcPr>
          <w:p w:rsidR="0038219E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 xml:space="preserve">Πολύ Μικρές έως Μεγάλες Επιχειρήσεις </w:t>
            </w:r>
            <w:r w:rsidR="0038219E"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 xml:space="preserve">(περιορισμοί </w:t>
            </w: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 xml:space="preserve">μεγέθους επιχειρήσεων </w:t>
            </w:r>
            <w:r w:rsidR="0038219E"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βάσει της ΥΑ 4912/120862/05.11.2015(ΦΕΚ2468/Β))</w:t>
            </w:r>
          </w:p>
        </w:tc>
      </w:tr>
      <w:tr w:rsidR="0038219E" w:rsidRPr="00967D70" w:rsidTr="00284FC6">
        <w:trPr>
          <w:trHeight w:val="596"/>
          <w:jc w:val="center"/>
        </w:trPr>
        <w:tc>
          <w:tcPr>
            <w:tcW w:w="12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35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2851" w:type="dxa"/>
            <w:tcBorders>
              <w:bottom w:val="single" w:sz="4" w:space="0" w:color="auto"/>
            </w:tcBorders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1305/2013, άρθρο 19</w:t>
            </w:r>
          </w:p>
        </w:tc>
        <w:tc>
          <w:tcPr>
            <w:tcW w:w="265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4308" w:type="dxa"/>
            <w:tcBorders>
              <w:bottom w:val="single" w:sz="4" w:space="0" w:color="auto"/>
            </w:tcBorders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Πολύ Μικρές έως Μικρές Επιχειρήσεις</w:t>
            </w:r>
          </w:p>
        </w:tc>
      </w:tr>
      <w:tr w:rsidR="0038219E" w:rsidRPr="00967D70" w:rsidTr="00284FC6">
        <w:trPr>
          <w:trHeight w:val="1287"/>
          <w:jc w:val="center"/>
        </w:trPr>
        <w:tc>
          <w:tcPr>
            <w:tcW w:w="1218" w:type="dxa"/>
            <w:shd w:val="clear" w:color="auto" w:fill="auto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19.2.3.1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Οριζόντια εφαρμογή μεταποίησης, εμπορίας και/ή ανάπτυξης γεωργικών προϊόντων με αποτέλεσμα γεωργικό προϊόν με σκοπό την εξυπηρέτηση των στόχων της τοπικής στρατηγικής.</w:t>
            </w:r>
          </w:p>
        </w:tc>
        <w:tc>
          <w:tcPr>
            <w:tcW w:w="2851" w:type="dxa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1305/2013, άρθρο 17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38219E" w:rsidRPr="00967D70" w:rsidRDefault="0038219E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1305/2013, παράρτημα ΙΙ</w:t>
            </w:r>
          </w:p>
        </w:tc>
        <w:tc>
          <w:tcPr>
            <w:tcW w:w="4308" w:type="dxa"/>
            <w:vAlign w:val="center"/>
          </w:tcPr>
          <w:p w:rsidR="0038219E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Πολύ Μικρές έως Μεγάλες Επιχειρήσεις</w:t>
            </w:r>
          </w:p>
        </w:tc>
      </w:tr>
      <w:tr w:rsidR="00DC37B1" w:rsidRPr="00967D70" w:rsidTr="00284FC6">
        <w:trPr>
          <w:trHeight w:val="959"/>
          <w:jc w:val="center"/>
        </w:trPr>
        <w:tc>
          <w:tcPr>
            <w:tcW w:w="1218" w:type="dxa"/>
            <w:vMerge w:val="restart"/>
            <w:shd w:val="clear" w:color="auto" w:fill="auto"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lastRenderedPageBreak/>
              <w:t>19.2.3.3</w:t>
            </w:r>
          </w:p>
        </w:tc>
        <w:tc>
          <w:tcPr>
            <w:tcW w:w="3599" w:type="dxa"/>
            <w:vMerge w:val="restart"/>
            <w:shd w:val="clear" w:color="auto" w:fill="auto"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Οριζόντια εφαρμογή ενίσχυσης επενδύσεων στον τομέα του τουρισμού με σκοπό την εξυπηρέτηση των στόχων της τοπικής στρατηγικής.</w:t>
            </w:r>
          </w:p>
        </w:tc>
        <w:tc>
          <w:tcPr>
            <w:tcW w:w="2851" w:type="dxa"/>
            <w:vMerge w:val="restart"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1305/2013, άρθρο 19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651/2014, άρθρο 22*</w:t>
            </w:r>
          </w:p>
        </w:tc>
        <w:tc>
          <w:tcPr>
            <w:tcW w:w="4308" w:type="dxa"/>
            <w:vMerge w:val="restart"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Πολύ Μικρές έως Μικρές Επιχειρήσεις</w:t>
            </w:r>
          </w:p>
        </w:tc>
      </w:tr>
      <w:tr w:rsidR="00DC37B1" w:rsidRPr="00967D70" w:rsidTr="00284FC6">
        <w:trPr>
          <w:trHeight w:val="91"/>
          <w:jc w:val="center"/>
        </w:trPr>
        <w:tc>
          <w:tcPr>
            <w:tcW w:w="1218" w:type="dxa"/>
            <w:vMerge/>
            <w:vAlign w:val="center"/>
            <w:hideMark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3599" w:type="dxa"/>
            <w:vMerge/>
            <w:vAlign w:val="center"/>
            <w:hideMark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2851" w:type="dxa"/>
            <w:vMerge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2657" w:type="dxa"/>
            <w:shd w:val="clear" w:color="auto" w:fill="auto"/>
            <w:vAlign w:val="center"/>
            <w:hideMark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651/2014, άρθρο 14</w:t>
            </w:r>
          </w:p>
        </w:tc>
        <w:tc>
          <w:tcPr>
            <w:tcW w:w="4308" w:type="dxa"/>
            <w:vMerge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</w:p>
        </w:tc>
      </w:tr>
      <w:tr w:rsidR="00DC37B1" w:rsidRPr="00967D70" w:rsidTr="009E6CBD">
        <w:trPr>
          <w:trHeight w:val="835"/>
          <w:jc w:val="center"/>
        </w:trPr>
        <w:tc>
          <w:tcPr>
            <w:tcW w:w="1218" w:type="dxa"/>
            <w:vMerge w:val="restart"/>
            <w:shd w:val="clear" w:color="auto" w:fill="auto"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19.2.3.4</w:t>
            </w:r>
          </w:p>
        </w:tc>
        <w:tc>
          <w:tcPr>
            <w:tcW w:w="3599" w:type="dxa"/>
            <w:vMerge w:val="restart"/>
            <w:shd w:val="clear" w:color="auto" w:fill="auto"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Οριζόντια εφαρμογή ενίσχυσης επενδύσεων στους τομείς της βιοτεχνίας, χειροτεχνίας, παραγωγής ειδών μετά την 1η μεταποίηση, και του εμπορίου με σκοπό την εξυπηρέτηση των στόχων της τοπικής στρατηγικής.</w:t>
            </w:r>
          </w:p>
        </w:tc>
        <w:tc>
          <w:tcPr>
            <w:tcW w:w="2851" w:type="dxa"/>
            <w:vMerge w:val="restart"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1305/2013, άρθρο 19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651/2014, άρθρο 22*</w:t>
            </w:r>
          </w:p>
        </w:tc>
        <w:tc>
          <w:tcPr>
            <w:tcW w:w="4308" w:type="dxa"/>
            <w:vMerge w:val="restart"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Πολύ Μικρές έως Μικρές Επιχειρήσεις</w:t>
            </w:r>
          </w:p>
        </w:tc>
      </w:tr>
      <w:tr w:rsidR="00DC37B1" w:rsidRPr="00967D70" w:rsidTr="00284FC6">
        <w:trPr>
          <w:trHeight w:val="56"/>
          <w:jc w:val="center"/>
        </w:trPr>
        <w:tc>
          <w:tcPr>
            <w:tcW w:w="1218" w:type="dxa"/>
            <w:vMerge/>
            <w:vAlign w:val="center"/>
            <w:hideMark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3599" w:type="dxa"/>
            <w:vMerge/>
            <w:vAlign w:val="center"/>
            <w:hideMark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2851" w:type="dxa"/>
            <w:vMerge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2657" w:type="dxa"/>
            <w:shd w:val="clear" w:color="auto" w:fill="auto"/>
            <w:vAlign w:val="center"/>
            <w:hideMark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651/2014, άρθρο 14</w:t>
            </w:r>
          </w:p>
        </w:tc>
        <w:tc>
          <w:tcPr>
            <w:tcW w:w="4308" w:type="dxa"/>
            <w:vMerge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</w:p>
        </w:tc>
      </w:tr>
      <w:tr w:rsidR="00DC37B1" w:rsidRPr="00967D70" w:rsidTr="009E6CBD">
        <w:trPr>
          <w:trHeight w:val="747"/>
          <w:jc w:val="center"/>
        </w:trPr>
        <w:tc>
          <w:tcPr>
            <w:tcW w:w="1218" w:type="dxa"/>
            <w:vMerge w:val="restart"/>
            <w:shd w:val="clear" w:color="auto" w:fill="auto"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19.2.3.5</w:t>
            </w:r>
          </w:p>
        </w:tc>
        <w:tc>
          <w:tcPr>
            <w:tcW w:w="3599" w:type="dxa"/>
            <w:vMerge w:val="restart"/>
            <w:shd w:val="clear" w:color="auto" w:fill="auto"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 xml:space="preserve">Οριζόντια εφαρμογή ενίσχυσης επενδύσεων παροχής υπηρεσιών για την εξυπηρέτηση του αγροτικού πληθυσμού (παιδικοί σταθμοί, χώροι αθλητισμού, πολιτιστικά κέντρα, </w:t>
            </w:r>
            <w:proofErr w:type="spellStart"/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κλπ</w:t>
            </w:r>
            <w:proofErr w:type="spellEnd"/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) με σκοπό την εξυπηρέτηση των στόχων της τοπικής στρατηγικής.</w:t>
            </w:r>
          </w:p>
        </w:tc>
        <w:tc>
          <w:tcPr>
            <w:tcW w:w="2851" w:type="dxa"/>
            <w:vMerge w:val="restart"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1305/2013, άρθρο 19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651/2014, άρθρο 22*</w:t>
            </w:r>
          </w:p>
        </w:tc>
        <w:tc>
          <w:tcPr>
            <w:tcW w:w="4308" w:type="dxa"/>
            <w:vMerge w:val="restart"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Πολύ Μικρές έως Μικρές Επιχειρήσεις</w:t>
            </w:r>
          </w:p>
        </w:tc>
      </w:tr>
      <w:tr w:rsidR="00DC37B1" w:rsidRPr="00967D70" w:rsidTr="00284FC6">
        <w:trPr>
          <w:trHeight w:val="550"/>
          <w:jc w:val="center"/>
        </w:trPr>
        <w:tc>
          <w:tcPr>
            <w:tcW w:w="1218" w:type="dxa"/>
            <w:vMerge/>
            <w:vAlign w:val="center"/>
            <w:hideMark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3599" w:type="dxa"/>
            <w:vMerge/>
            <w:vAlign w:val="center"/>
            <w:hideMark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2851" w:type="dxa"/>
            <w:vMerge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2657" w:type="dxa"/>
            <w:shd w:val="clear" w:color="auto" w:fill="auto"/>
            <w:vAlign w:val="center"/>
            <w:hideMark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651/2014, άρθρο 14</w:t>
            </w:r>
          </w:p>
        </w:tc>
        <w:tc>
          <w:tcPr>
            <w:tcW w:w="4308" w:type="dxa"/>
            <w:vMerge/>
            <w:vAlign w:val="center"/>
          </w:tcPr>
          <w:p w:rsidR="00DC37B1" w:rsidRPr="00967D70" w:rsidRDefault="00DC37B1" w:rsidP="00DC37B1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</w:p>
        </w:tc>
      </w:tr>
      <w:tr w:rsidR="009E6CBD" w:rsidRPr="00967D70" w:rsidTr="009E6CBD">
        <w:trPr>
          <w:trHeight w:val="926"/>
          <w:jc w:val="center"/>
        </w:trPr>
        <w:tc>
          <w:tcPr>
            <w:tcW w:w="1218" w:type="dxa"/>
            <w:shd w:val="clear" w:color="auto" w:fill="auto"/>
            <w:vAlign w:val="center"/>
          </w:tcPr>
          <w:p w:rsidR="009E6CBD" w:rsidRPr="00967D70" w:rsidRDefault="009E6CBD" w:rsidP="009E6CBD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lastRenderedPageBreak/>
              <w:t>19.2.6.2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9E6CBD" w:rsidRPr="00967D70" w:rsidRDefault="009E6CBD" w:rsidP="009E6CBD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Επενδύσεις σε δασοκομικές τεχνολογίες και στην επεξεργασία, κινητοποίηση και εμπορία δασικών προϊόντων</w:t>
            </w:r>
          </w:p>
        </w:tc>
        <w:tc>
          <w:tcPr>
            <w:tcW w:w="2851" w:type="dxa"/>
            <w:vAlign w:val="center"/>
          </w:tcPr>
          <w:p w:rsidR="009E6CBD" w:rsidRPr="00967D70" w:rsidRDefault="009E6CBD" w:rsidP="009E6CBD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 xml:space="preserve">Κανονισμός (ΕΕ) 1305/2013, άρθρο </w:t>
            </w:r>
            <w:r w:rsidRPr="009E6CBD">
              <w:rPr>
                <w:rFonts w:ascii="Verdana" w:eastAsiaTheme="majorEastAsia" w:hAnsi="Verdana" w:cstheme="majorBidi"/>
                <w:bCs/>
                <w:sz w:val="18"/>
                <w:szCs w:val="18"/>
              </w:rPr>
              <w:t>21 &amp; 26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9E6CBD" w:rsidRPr="00967D70" w:rsidRDefault="009E6CBD" w:rsidP="009E6CBD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1407/2013</w:t>
            </w:r>
          </w:p>
        </w:tc>
        <w:tc>
          <w:tcPr>
            <w:tcW w:w="4308" w:type="dxa"/>
            <w:vAlign w:val="center"/>
          </w:tcPr>
          <w:p w:rsidR="009E6CBD" w:rsidRPr="00967D70" w:rsidRDefault="009E6CBD" w:rsidP="009E6CBD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Πολύ Μικρές έως Μεγάλες Επιχειρήσεις</w:t>
            </w:r>
          </w:p>
          <w:p w:rsidR="009E6CBD" w:rsidRPr="00967D70" w:rsidRDefault="009E6CBD" w:rsidP="009E6CBD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</w:p>
        </w:tc>
      </w:tr>
      <w:tr w:rsidR="009E6CBD" w:rsidRPr="00967D70" w:rsidTr="00284FC6">
        <w:trPr>
          <w:trHeight w:val="1414"/>
          <w:jc w:val="center"/>
        </w:trPr>
        <w:tc>
          <w:tcPr>
            <w:tcW w:w="1218" w:type="dxa"/>
            <w:shd w:val="clear" w:color="auto" w:fill="auto"/>
            <w:vAlign w:val="center"/>
          </w:tcPr>
          <w:p w:rsidR="009E6CBD" w:rsidRPr="00967D70" w:rsidRDefault="009E6CBD" w:rsidP="009E6CBD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19.2.7.3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9E6CBD" w:rsidRPr="00967D70" w:rsidRDefault="009E6CBD" w:rsidP="009E6CBD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 xml:space="preserve">Συνεργασία μεταξύ μικρών επιχειρήσεων για διοργάνωση κοινών μεθόδων εργασίας και τη κοινή χρήση εγκαταστάσεων και πόρων καθώς και για την ανάπτυξη και/ή την εμπορία τουριστικών υπηρεσιών, που συνδέονται με τον </w:t>
            </w:r>
            <w:proofErr w:type="spellStart"/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αγροτουρισμό</w:t>
            </w:r>
            <w:proofErr w:type="spellEnd"/>
          </w:p>
        </w:tc>
        <w:tc>
          <w:tcPr>
            <w:tcW w:w="2851" w:type="dxa"/>
            <w:vAlign w:val="center"/>
          </w:tcPr>
          <w:p w:rsidR="009E6CBD" w:rsidRPr="00967D70" w:rsidRDefault="009E6CBD" w:rsidP="009E6CBD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1305/2013, άρθρο 35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9E6CBD" w:rsidRPr="00967D70" w:rsidRDefault="009E6CBD" w:rsidP="009E6CBD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Κανονισμός (ΕΕ) 1407/2013</w:t>
            </w:r>
          </w:p>
        </w:tc>
        <w:tc>
          <w:tcPr>
            <w:tcW w:w="4308" w:type="dxa"/>
            <w:vAlign w:val="center"/>
          </w:tcPr>
          <w:p w:rsidR="009E6CBD" w:rsidRPr="00967D70" w:rsidRDefault="009E6CBD" w:rsidP="009E6CBD">
            <w:pPr>
              <w:spacing w:before="120" w:after="120" w:line="240" w:lineRule="auto"/>
              <w:jc w:val="center"/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</w:pPr>
            <w:r w:rsidRPr="00967D70">
              <w:rPr>
                <w:rFonts w:ascii="Verdana" w:eastAsiaTheme="majorEastAsia" w:hAnsi="Verdana" w:cstheme="majorBidi"/>
                <w:bCs/>
                <w:color w:val="244061" w:themeColor="accent1" w:themeShade="80"/>
                <w:sz w:val="18"/>
                <w:szCs w:val="18"/>
              </w:rPr>
              <w:t>Πολύ Μικρές έως Μεγάλες Επιχειρήσεις</w:t>
            </w:r>
          </w:p>
        </w:tc>
      </w:tr>
    </w:tbl>
    <w:p w:rsidR="0089528C" w:rsidRPr="00967D70" w:rsidRDefault="00296F98">
      <w:pPr>
        <w:rPr>
          <w:rFonts w:ascii="Verdana" w:eastAsiaTheme="majorEastAsia" w:hAnsi="Verdana" w:cstheme="majorBidi"/>
          <w:bCs/>
          <w:color w:val="244061" w:themeColor="accent1" w:themeShade="80"/>
          <w:sz w:val="18"/>
          <w:szCs w:val="18"/>
        </w:rPr>
      </w:pPr>
      <w:r w:rsidRPr="00967D70">
        <w:rPr>
          <w:rFonts w:ascii="Verdana" w:hAnsi="Verdana"/>
          <w:sz w:val="18"/>
          <w:szCs w:val="18"/>
        </w:rPr>
        <w:t>*</w:t>
      </w:r>
      <w:r w:rsidRPr="00967D70">
        <w:rPr>
          <w:rFonts w:ascii="Verdana" w:eastAsiaTheme="majorEastAsia" w:hAnsi="Verdana" w:cstheme="majorBidi"/>
          <w:bCs/>
          <w:color w:val="244061" w:themeColor="accent1" w:themeShade="80"/>
          <w:sz w:val="18"/>
          <w:szCs w:val="18"/>
        </w:rPr>
        <w:t>μόνο στις περιπτώσεις όπου προβλέπετ</w:t>
      </w:r>
      <w:r w:rsidR="009F4A89">
        <w:rPr>
          <w:rFonts w:ascii="Verdana" w:eastAsiaTheme="majorEastAsia" w:hAnsi="Verdana" w:cstheme="majorBidi"/>
          <w:bCs/>
          <w:color w:val="244061" w:themeColor="accent1" w:themeShade="80"/>
          <w:sz w:val="18"/>
          <w:szCs w:val="18"/>
        </w:rPr>
        <w:t xml:space="preserve">αι </w:t>
      </w:r>
      <w:r w:rsidRPr="00967D70">
        <w:rPr>
          <w:rFonts w:ascii="Verdana" w:eastAsiaTheme="majorEastAsia" w:hAnsi="Verdana" w:cstheme="majorBidi"/>
          <w:bCs/>
          <w:color w:val="244061" w:themeColor="accent1" w:themeShade="80"/>
          <w:sz w:val="18"/>
          <w:szCs w:val="18"/>
        </w:rPr>
        <w:t>η χρήση στο τοπικό πρόγραμμα</w:t>
      </w:r>
    </w:p>
    <w:sectPr w:rsidR="0089528C" w:rsidRPr="00967D70" w:rsidSect="00DC37B1">
      <w:headerReference w:type="default" r:id="rId6"/>
      <w:footerReference w:type="default" r:id="rId7"/>
      <w:pgSz w:w="16838" w:h="11906" w:orient="landscape"/>
      <w:pgMar w:top="1800" w:right="1440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FC6" w:rsidRDefault="00284FC6" w:rsidP="00284FC6">
      <w:pPr>
        <w:spacing w:after="0" w:line="240" w:lineRule="auto"/>
      </w:pPr>
      <w:r>
        <w:separator/>
      </w:r>
    </w:p>
  </w:endnote>
  <w:endnote w:type="continuationSeparator" w:id="0">
    <w:p w:rsidR="00284FC6" w:rsidRDefault="00284FC6" w:rsidP="0028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35D" w:rsidRPr="007A73AC" w:rsidRDefault="00FC035D">
    <w:pPr>
      <w:pStyle w:val="a4"/>
      <w:jc w:val="right"/>
      <w:rPr>
        <w:sz w:val="18"/>
        <w:szCs w:val="18"/>
      </w:rPr>
    </w:pPr>
  </w:p>
  <w:tbl>
    <w:tblPr>
      <w:tblW w:w="10339" w:type="dxa"/>
      <w:jc w:val="center"/>
      <w:tblLayout w:type="fixed"/>
      <w:tblLook w:val="00A0" w:firstRow="1" w:lastRow="0" w:firstColumn="1" w:lastColumn="0" w:noHBand="0" w:noVBand="0"/>
    </w:tblPr>
    <w:tblGrid>
      <w:gridCol w:w="2410"/>
      <w:gridCol w:w="2547"/>
      <w:gridCol w:w="1566"/>
      <w:gridCol w:w="1977"/>
      <w:gridCol w:w="1839"/>
    </w:tblGrid>
    <w:tr w:rsidR="007A73AC" w:rsidRPr="007A73AC" w:rsidTr="00986C91">
      <w:trPr>
        <w:trHeight w:val="1247"/>
        <w:jc w:val="center"/>
      </w:trPr>
      <w:tc>
        <w:tcPr>
          <w:tcW w:w="2410" w:type="dxa"/>
          <w:vAlign w:val="center"/>
          <w:hideMark/>
        </w:tcPr>
        <w:p w:rsidR="007A73AC" w:rsidRPr="007A73AC" w:rsidRDefault="007A73AC" w:rsidP="007A73AC">
          <w:pPr>
            <w:pStyle w:val="a4"/>
          </w:pPr>
          <w:r w:rsidRPr="007A73AC">
            <w:rPr>
              <w:noProof/>
              <w:lang w:eastAsia="el-GR"/>
            </w:rPr>
            <w:drawing>
              <wp:inline distT="0" distB="0" distL="0" distR="0" wp14:anchorId="31B2CDA0" wp14:editId="338744F3">
                <wp:extent cx="1189355" cy="549910"/>
                <wp:effectExtent l="0" t="0" r="0" b="2540"/>
                <wp:docPr id="6" name="Εικόνα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935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47" w:type="dxa"/>
          <w:vAlign w:val="center"/>
          <w:hideMark/>
        </w:tcPr>
        <w:p w:rsidR="007A73AC" w:rsidRPr="007A73AC" w:rsidRDefault="007A73AC" w:rsidP="007A73AC">
          <w:pPr>
            <w:pStyle w:val="a4"/>
          </w:pPr>
          <w:r w:rsidRPr="007A73AC">
            <w:rPr>
              <w:noProof/>
              <w:lang w:eastAsia="el-GR"/>
            </w:rPr>
            <w:drawing>
              <wp:inline distT="0" distB="0" distL="0" distR="0" wp14:anchorId="676CDF3D" wp14:editId="56BD1381">
                <wp:extent cx="1189355" cy="549910"/>
                <wp:effectExtent l="0" t="0" r="0" b="2540"/>
                <wp:docPr id="7" name="Εικόνα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935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6" w:type="dxa"/>
          <w:vAlign w:val="center"/>
          <w:hideMark/>
        </w:tcPr>
        <w:p w:rsidR="007A73AC" w:rsidRPr="007A73AC" w:rsidRDefault="007A73AC" w:rsidP="007A73AC">
          <w:pPr>
            <w:pStyle w:val="a4"/>
          </w:pPr>
          <w:r w:rsidRPr="007A73AC">
            <w:rPr>
              <w:noProof/>
              <w:lang w:eastAsia="el-GR"/>
            </w:rPr>
            <w:drawing>
              <wp:inline distT="0" distB="0" distL="0" distR="0" wp14:anchorId="2EA22EBB" wp14:editId="1EE780DF">
                <wp:extent cx="549910" cy="549910"/>
                <wp:effectExtent l="0" t="0" r="2540" b="2540"/>
                <wp:docPr id="8" name="Εικόνα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910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77" w:type="dxa"/>
          <w:vAlign w:val="center"/>
          <w:hideMark/>
        </w:tcPr>
        <w:p w:rsidR="007A73AC" w:rsidRPr="007A73AC" w:rsidRDefault="007A73AC" w:rsidP="007A73AC">
          <w:pPr>
            <w:pStyle w:val="a4"/>
          </w:pPr>
          <w:r w:rsidRPr="007A73AC">
            <w:rPr>
              <w:noProof/>
              <w:lang w:eastAsia="el-GR"/>
            </w:rPr>
            <w:drawing>
              <wp:inline distT="0" distB="0" distL="0" distR="0" wp14:anchorId="3247A2AF" wp14:editId="0138EBD8">
                <wp:extent cx="549910" cy="639445"/>
                <wp:effectExtent l="0" t="0" r="2540" b="8255"/>
                <wp:docPr id="9" name="Εικόνα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549910" cy="63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9" w:type="dxa"/>
          <w:vAlign w:val="center"/>
          <w:hideMark/>
        </w:tcPr>
        <w:p w:rsidR="007A73AC" w:rsidRPr="007A73AC" w:rsidRDefault="007A73AC" w:rsidP="007A73AC">
          <w:pPr>
            <w:pStyle w:val="a4"/>
          </w:pPr>
          <w:r w:rsidRPr="007A73AC">
            <w:rPr>
              <w:noProof/>
              <w:lang w:eastAsia="el-GR"/>
            </w:rPr>
            <w:drawing>
              <wp:inline distT="0" distB="0" distL="0" distR="0" wp14:anchorId="7FBC6FE4" wp14:editId="7B1D8765">
                <wp:extent cx="914400" cy="549910"/>
                <wp:effectExtent l="0" t="0" r="0" b="2540"/>
                <wp:docPr id="10" name="Εικόνα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sdt>
    <w:sdtPr>
      <w:rPr>
        <w:sz w:val="18"/>
        <w:szCs w:val="18"/>
      </w:rPr>
      <w:id w:val="-1675330821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A73AC" w:rsidRDefault="007A73AC" w:rsidP="007A73AC">
            <w:pPr>
              <w:pStyle w:val="a4"/>
              <w:jc w:val="right"/>
              <w:rPr>
                <w:sz w:val="18"/>
                <w:szCs w:val="18"/>
              </w:rPr>
            </w:pPr>
            <w:r w:rsidRPr="007A73AC">
              <w:rPr>
                <w:sz w:val="18"/>
                <w:szCs w:val="18"/>
              </w:rPr>
              <w:t xml:space="preserve">Σελίδα </w:t>
            </w:r>
            <w:r w:rsidRPr="007A73AC">
              <w:rPr>
                <w:b/>
                <w:bCs/>
                <w:sz w:val="18"/>
                <w:szCs w:val="18"/>
              </w:rPr>
              <w:fldChar w:fldCharType="begin"/>
            </w:r>
            <w:r w:rsidRPr="007A73AC">
              <w:rPr>
                <w:b/>
                <w:bCs/>
                <w:sz w:val="18"/>
                <w:szCs w:val="18"/>
              </w:rPr>
              <w:instrText>PAGE</w:instrText>
            </w:r>
            <w:r w:rsidRPr="007A73AC">
              <w:rPr>
                <w:b/>
                <w:bCs/>
                <w:sz w:val="18"/>
                <w:szCs w:val="18"/>
              </w:rPr>
              <w:fldChar w:fldCharType="separate"/>
            </w:r>
            <w:r w:rsidR="00967D70">
              <w:rPr>
                <w:b/>
                <w:bCs/>
                <w:noProof/>
                <w:sz w:val="18"/>
                <w:szCs w:val="18"/>
              </w:rPr>
              <w:t>3</w:t>
            </w:r>
            <w:r w:rsidRPr="007A73AC">
              <w:rPr>
                <w:b/>
                <w:bCs/>
                <w:sz w:val="18"/>
                <w:szCs w:val="18"/>
              </w:rPr>
              <w:fldChar w:fldCharType="end"/>
            </w:r>
            <w:r w:rsidRPr="007A73AC">
              <w:rPr>
                <w:sz w:val="18"/>
                <w:szCs w:val="18"/>
              </w:rPr>
              <w:t xml:space="preserve"> από </w:t>
            </w:r>
            <w:r w:rsidRPr="007A73AC">
              <w:rPr>
                <w:b/>
                <w:bCs/>
                <w:sz w:val="18"/>
                <w:szCs w:val="18"/>
              </w:rPr>
              <w:fldChar w:fldCharType="begin"/>
            </w:r>
            <w:r w:rsidRPr="007A73AC">
              <w:rPr>
                <w:b/>
                <w:bCs/>
                <w:sz w:val="18"/>
                <w:szCs w:val="18"/>
              </w:rPr>
              <w:instrText>NUMPAGES</w:instrText>
            </w:r>
            <w:r w:rsidRPr="007A73AC">
              <w:rPr>
                <w:b/>
                <w:bCs/>
                <w:sz w:val="18"/>
                <w:szCs w:val="18"/>
              </w:rPr>
              <w:fldChar w:fldCharType="separate"/>
            </w:r>
            <w:r w:rsidR="00967D70">
              <w:rPr>
                <w:b/>
                <w:bCs/>
                <w:noProof/>
                <w:sz w:val="18"/>
                <w:szCs w:val="18"/>
              </w:rPr>
              <w:t>7</w:t>
            </w:r>
            <w:r w:rsidRPr="007A73A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A033D" w:rsidRDefault="002A033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FC6" w:rsidRDefault="00284FC6" w:rsidP="00284FC6">
      <w:pPr>
        <w:spacing w:after="0" w:line="240" w:lineRule="auto"/>
      </w:pPr>
      <w:r>
        <w:separator/>
      </w:r>
    </w:p>
  </w:footnote>
  <w:footnote w:type="continuationSeparator" w:id="0">
    <w:p w:rsidR="00284FC6" w:rsidRDefault="00284FC6" w:rsidP="00284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5"/>
      <w:tblW w:w="141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0"/>
      <w:gridCol w:w="7076"/>
    </w:tblGrid>
    <w:tr w:rsidR="002A033D" w:rsidTr="00AA634A">
      <w:trPr>
        <w:trHeight w:val="287"/>
        <w:jc w:val="center"/>
      </w:trPr>
      <w:tc>
        <w:tcPr>
          <w:tcW w:w="7080" w:type="dxa"/>
          <w:vAlign w:val="center"/>
        </w:tcPr>
        <w:p w:rsidR="002A033D" w:rsidRPr="000F11BA" w:rsidRDefault="002A033D" w:rsidP="002A033D">
          <w:pPr>
            <w:pStyle w:val="a3"/>
            <w:rPr>
              <w:b/>
              <w:u w:val="single"/>
            </w:rPr>
          </w:pPr>
          <w:bookmarkStart w:id="1" w:name="_Toc529975896"/>
          <w:bookmarkStart w:id="2" w:name="OLE_LINK1"/>
          <w:bookmarkStart w:id="3" w:name="OLE_LINK2"/>
          <w:r w:rsidRPr="000F11BA">
            <w:rPr>
              <w:b/>
              <w:u w:val="single"/>
            </w:rPr>
            <w:t>ΠΑΡΑΡΤΗΜΑ Ι</w:t>
          </w:r>
          <w:r w:rsidR="00FC035D">
            <w:rPr>
              <w:b/>
              <w:u w:val="single"/>
            </w:rPr>
            <w:t>.</w:t>
          </w:r>
          <w:r w:rsidRPr="000F11BA">
            <w:rPr>
              <w:b/>
              <w:u w:val="single"/>
            </w:rPr>
            <w:t>11</w:t>
          </w:r>
          <w:r w:rsidR="007A73AC">
            <w:rPr>
              <w:b/>
              <w:u w:val="single"/>
            </w:rPr>
            <w:t>:</w:t>
          </w:r>
          <w:r w:rsidRPr="000F11BA">
            <w:rPr>
              <w:b/>
              <w:u w:val="single"/>
            </w:rPr>
            <w:t xml:space="preserve"> ΝΟΜΙΚΗ ΒΑΣΗ ΙΔΙΩΤΙΚΩΝ ΕΠΕΝΔΥΣΕΩΝ</w:t>
          </w:r>
        </w:p>
        <w:p w:rsidR="002A033D" w:rsidRDefault="002A033D" w:rsidP="002A033D">
          <w:pPr>
            <w:pStyle w:val="2"/>
            <w:ind w:left="0"/>
            <w:jc w:val="left"/>
            <w:outlineLvl w:val="1"/>
            <w:rPr>
              <w:u w:val="single"/>
            </w:rPr>
          </w:pPr>
        </w:p>
      </w:tc>
      <w:tc>
        <w:tcPr>
          <w:tcW w:w="7076" w:type="dxa"/>
          <w:vAlign w:val="center"/>
        </w:tcPr>
        <w:p w:rsidR="002A033D" w:rsidRDefault="002A033D" w:rsidP="002A033D">
          <w:pPr>
            <w:pStyle w:val="2"/>
            <w:ind w:left="0"/>
            <w:jc w:val="right"/>
            <w:outlineLvl w:val="1"/>
            <w:rPr>
              <w:u w:val="single"/>
            </w:rPr>
          </w:pPr>
          <w:r>
            <w:rPr>
              <w:b w:val="0"/>
              <w:noProof/>
              <w:szCs w:val="20"/>
            </w:rPr>
            <w:drawing>
              <wp:inline distT="0" distB="0" distL="0" distR="0" wp14:anchorId="7D8C2428" wp14:editId="04540BD8">
                <wp:extent cx="1080000" cy="720000"/>
                <wp:effectExtent l="0" t="0" r="0" b="0"/>
                <wp:docPr id="26" name="Εικόν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9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  <w:bookmarkEnd w:id="3"/>
  </w:tbl>
  <w:p w:rsidR="002A033D" w:rsidRDefault="002A03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5E0"/>
    <w:rsid w:val="000F11BA"/>
    <w:rsid w:val="00284FC6"/>
    <w:rsid w:val="00296F98"/>
    <w:rsid w:val="002A033D"/>
    <w:rsid w:val="0038219E"/>
    <w:rsid w:val="00394E82"/>
    <w:rsid w:val="004C4FF6"/>
    <w:rsid w:val="00503D60"/>
    <w:rsid w:val="007905E0"/>
    <w:rsid w:val="007A73AC"/>
    <w:rsid w:val="007D63C9"/>
    <w:rsid w:val="0089528C"/>
    <w:rsid w:val="00951241"/>
    <w:rsid w:val="00967D70"/>
    <w:rsid w:val="009B0F1C"/>
    <w:rsid w:val="009E6CBD"/>
    <w:rsid w:val="009F4A89"/>
    <w:rsid w:val="00A22C74"/>
    <w:rsid w:val="00CF04E9"/>
    <w:rsid w:val="00DA4100"/>
    <w:rsid w:val="00DC37B1"/>
    <w:rsid w:val="00E91A57"/>
    <w:rsid w:val="00F92E85"/>
    <w:rsid w:val="00FC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570CA13-617E-46B0-90CE-2D9F2B1A5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5E0"/>
  </w:style>
  <w:style w:type="paragraph" w:styleId="2">
    <w:name w:val="heading 2"/>
    <w:basedOn w:val="a"/>
    <w:next w:val="a"/>
    <w:link w:val="2Char"/>
    <w:qFormat/>
    <w:rsid w:val="002A033D"/>
    <w:pPr>
      <w:keepNext/>
      <w:spacing w:after="0" w:line="360" w:lineRule="auto"/>
      <w:ind w:left="360"/>
      <w:jc w:val="center"/>
      <w:outlineLvl w:val="1"/>
    </w:pPr>
    <w:rPr>
      <w:rFonts w:ascii="Verdana" w:eastAsia="Times New Roman" w:hAnsi="Verdana" w:cs="Arial"/>
      <w:b/>
      <w:bCs/>
      <w:sz w:val="20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F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84FC6"/>
  </w:style>
  <w:style w:type="paragraph" w:styleId="a4">
    <w:name w:val="footer"/>
    <w:basedOn w:val="a"/>
    <w:link w:val="Char0"/>
    <w:uiPriority w:val="99"/>
    <w:unhideWhenUsed/>
    <w:rsid w:val="00284F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84FC6"/>
  </w:style>
  <w:style w:type="character" w:customStyle="1" w:styleId="2Char">
    <w:name w:val="Επικεφαλίδα 2 Char"/>
    <w:basedOn w:val="a0"/>
    <w:link w:val="2"/>
    <w:rsid w:val="002A033D"/>
    <w:rPr>
      <w:rFonts w:ascii="Verdana" w:eastAsia="Times New Roman" w:hAnsi="Verdana" w:cs="Arial"/>
      <w:b/>
      <w:bCs/>
      <w:sz w:val="20"/>
      <w:szCs w:val="24"/>
      <w:lang w:eastAsia="el-GR"/>
    </w:rPr>
  </w:style>
  <w:style w:type="table" w:styleId="a5">
    <w:name w:val="Table Grid"/>
    <w:basedOn w:val="a1"/>
    <w:uiPriority w:val="39"/>
    <w:rsid w:val="002A0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9E6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9E6C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570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ΚΟΒΑΝΗΣ ΙΩΑΝΝΗΣ</dc:creator>
  <cp:lastModifiedBy>Δίκτυο Δήμων ΠΕ Νήσων Αττικής</cp:lastModifiedBy>
  <cp:revision>12</cp:revision>
  <dcterms:created xsi:type="dcterms:W3CDTF">2018-11-22T11:00:00Z</dcterms:created>
  <dcterms:modified xsi:type="dcterms:W3CDTF">2019-02-18T13:47:00Z</dcterms:modified>
</cp:coreProperties>
</file>