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1CB" w:rsidRPr="005E51CB" w:rsidRDefault="005E51CB" w:rsidP="005E51CB">
      <w:pPr>
        <w:spacing w:after="120"/>
        <w:rPr>
          <w:rFonts w:ascii="Verdana" w:hAnsi="Verdana"/>
          <w:b/>
          <w:sz w:val="19"/>
          <w:szCs w:val="19"/>
          <w:u w:val="single"/>
          <w:lang w:val="el-GR"/>
        </w:rPr>
      </w:pPr>
      <w:r w:rsidRPr="005E51CB">
        <w:rPr>
          <w:rFonts w:ascii="Verdana" w:hAnsi="Verdana"/>
          <w:b/>
          <w:sz w:val="19"/>
          <w:szCs w:val="19"/>
          <w:u w:val="single"/>
          <w:lang w:val="el-GR"/>
        </w:rPr>
        <w:t>ΜΜΕ: Πολύ μικρές, μικρές και μεσαίες επιχειρήσεις</w:t>
      </w:r>
    </w:p>
    <w:p w:rsidR="005E51CB" w:rsidRDefault="005E51CB" w:rsidP="005E51CB">
      <w:pPr>
        <w:spacing w:after="120"/>
        <w:rPr>
          <w:rFonts w:ascii="Verdana" w:hAnsi="Verdana"/>
          <w:sz w:val="19"/>
          <w:szCs w:val="19"/>
          <w:lang w:val="el-GR"/>
        </w:rPr>
      </w:pPr>
      <w:r w:rsidRPr="005E51CB">
        <w:rPr>
          <w:rFonts w:ascii="Verdana" w:hAnsi="Verdana"/>
          <w:sz w:val="19"/>
          <w:szCs w:val="19"/>
          <w:lang w:val="el-GR"/>
        </w:rPr>
        <w:t>Η κατηγοριοποίηση των επιχειρήσεων σε Μεγάλες, Μεσαίες, Μικρές και Πολύ Μικρές γίνεται σύμφωνα με το Παράρτημα Ι του Καν. Ε.Ε. 651/</w:t>
      </w:r>
      <w:r w:rsidR="00882277">
        <w:rPr>
          <w:rFonts w:ascii="Verdana" w:hAnsi="Verdana"/>
          <w:sz w:val="19"/>
          <w:szCs w:val="19"/>
          <w:lang w:val="el-GR"/>
        </w:rPr>
        <w:t>2014</w:t>
      </w:r>
      <w:r w:rsidRPr="005E51CB">
        <w:rPr>
          <w:rFonts w:ascii="Verdana" w:hAnsi="Verdana"/>
          <w:sz w:val="19"/>
          <w:szCs w:val="19"/>
          <w:lang w:val="el-GR"/>
        </w:rPr>
        <w:t xml:space="preserve"> ή με την σύσταση 2003/361/ΕΚ της Επιτροπής, της 6ης Μαΐου 2003, σχετικά με τον ορισμό των πολύ μικρών, των μικρών και των μεσαίων επιχειρήσεων, κατά περίπτωση</w:t>
      </w:r>
      <w:r>
        <w:rPr>
          <w:rFonts w:ascii="Verdana" w:hAnsi="Verdana"/>
          <w:sz w:val="19"/>
          <w:szCs w:val="19"/>
          <w:lang w:val="el-GR"/>
        </w:rPr>
        <w:t xml:space="preserve"> και συγκεκριμένα:</w:t>
      </w:r>
    </w:p>
    <w:p w:rsidR="005E51CB" w:rsidRDefault="005E51CB" w:rsidP="005E51CB">
      <w:pPr>
        <w:spacing w:after="120"/>
        <w:rPr>
          <w:rFonts w:ascii="Verdana" w:hAnsi="Verdana"/>
          <w:sz w:val="19"/>
          <w:szCs w:val="19"/>
          <w:lang w:val="el-GR"/>
        </w:rPr>
      </w:pPr>
      <w:bookmarkStart w:id="0" w:name="_GoBack"/>
      <w:bookmarkEnd w:id="0"/>
    </w:p>
    <w:p w:rsidR="005E51CB" w:rsidRDefault="005E51CB" w:rsidP="005E51CB">
      <w:pPr>
        <w:spacing w:after="120"/>
        <w:rPr>
          <w:rFonts w:ascii="Verdana" w:hAnsi="Verdana"/>
          <w:b/>
          <w:bCs/>
          <w:i/>
          <w:sz w:val="19"/>
          <w:szCs w:val="19"/>
          <w:lang w:val="el-GR"/>
        </w:rPr>
      </w:pPr>
    </w:p>
    <w:p w:rsidR="0004198A" w:rsidRPr="00F94658" w:rsidRDefault="0004198A" w:rsidP="00F94658">
      <w:pPr>
        <w:spacing w:after="120"/>
        <w:jc w:val="left"/>
        <w:rPr>
          <w:rFonts w:ascii="Verdana" w:hAnsi="Verdana"/>
          <w:b/>
          <w:bCs/>
          <w:i/>
          <w:sz w:val="19"/>
          <w:szCs w:val="19"/>
          <w:lang w:val="el-GR"/>
        </w:rPr>
      </w:pPr>
      <w:r w:rsidRPr="00F94658">
        <w:rPr>
          <w:rFonts w:ascii="Verdana" w:hAnsi="Verdana"/>
          <w:b/>
          <w:bCs/>
          <w:i/>
          <w:sz w:val="19"/>
          <w:szCs w:val="19"/>
          <w:lang w:val="el-GR"/>
        </w:rPr>
        <w:t xml:space="preserve"> </w:t>
      </w:r>
      <w:r w:rsidRPr="00F94658">
        <w:rPr>
          <w:rFonts w:ascii="Verdana" w:hAnsi="Verdana"/>
          <w:b/>
          <w:i/>
          <w:iCs/>
          <w:sz w:val="19"/>
          <w:szCs w:val="19"/>
          <w:lang w:val="el-GR"/>
        </w:rPr>
        <w:t xml:space="preserve">Άρθρο 1 - </w:t>
      </w:r>
      <w:r w:rsidRPr="00F94658">
        <w:rPr>
          <w:rFonts w:ascii="Verdana" w:hAnsi="Verdana"/>
          <w:b/>
          <w:bCs/>
          <w:i/>
          <w:sz w:val="19"/>
          <w:szCs w:val="19"/>
          <w:lang w:val="el-GR"/>
        </w:rPr>
        <w:t xml:space="preserve">Επιχείρηση </w:t>
      </w:r>
    </w:p>
    <w:p w:rsidR="0004198A" w:rsidRDefault="0004198A" w:rsidP="00F94658">
      <w:pPr>
        <w:spacing w:after="120"/>
        <w:rPr>
          <w:rFonts w:ascii="Verdana" w:hAnsi="Verdana"/>
          <w:sz w:val="19"/>
          <w:szCs w:val="19"/>
          <w:lang w:val="el-GR"/>
        </w:rPr>
      </w:pPr>
      <w:r w:rsidRPr="00F94658">
        <w:rPr>
          <w:rFonts w:ascii="Verdana" w:hAnsi="Verdana"/>
          <w:b/>
          <w:bCs/>
          <w:sz w:val="19"/>
          <w:szCs w:val="19"/>
          <w:lang w:val="el-GR"/>
        </w:rPr>
        <w:t xml:space="preserve"> </w:t>
      </w:r>
      <w:r w:rsidRPr="00F94658">
        <w:rPr>
          <w:rFonts w:ascii="Verdana" w:hAnsi="Verdana"/>
          <w:sz w:val="19"/>
          <w:szCs w:val="19"/>
          <w:lang w:val="el-GR"/>
        </w:rPr>
        <w:t xml:space="preserve">Επιχείρηση θεωρείται κάθε </w:t>
      </w:r>
      <w:r w:rsidR="00E0503A">
        <w:rPr>
          <w:rFonts w:ascii="Verdana" w:hAnsi="Verdana"/>
          <w:sz w:val="19"/>
          <w:szCs w:val="19"/>
          <w:lang w:val="el-GR"/>
        </w:rPr>
        <w:t>οντότητα</w:t>
      </w:r>
      <w:r w:rsidRPr="00F94658">
        <w:rPr>
          <w:rFonts w:ascii="Verdana" w:hAnsi="Verdana"/>
          <w:sz w:val="19"/>
          <w:szCs w:val="19"/>
          <w:lang w:val="el-GR"/>
        </w:rPr>
        <w:t xml:space="preserve">, ανεξάρτητα από τη νομική της μορφή, που ασκεί οικονομική δραστηριότητα. Σε αυτές περιλαμβάνονται ειδικότερα </w:t>
      </w:r>
      <w:r w:rsidR="00BD420A" w:rsidRPr="00F94658">
        <w:rPr>
          <w:rFonts w:ascii="Verdana" w:hAnsi="Verdana"/>
          <w:sz w:val="19"/>
          <w:szCs w:val="19"/>
          <w:lang w:val="el-GR"/>
        </w:rPr>
        <w:t>αυτοαπασχολούμενα</w:t>
      </w:r>
      <w:r w:rsidRPr="00F94658">
        <w:rPr>
          <w:rFonts w:ascii="Verdana" w:hAnsi="Verdana"/>
          <w:sz w:val="19"/>
          <w:szCs w:val="19"/>
          <w:lang w:val="el-GR"/>
        </w:rPr>
        <w:t xml:space="preserve">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  </w:t>
      </w:r>
    </w:p>
    <w:p w:rsidR="00F94658" w:rsidRPr="00F94658" w:rsidRDefault="00F94658" w:rsidP="00F94658">
      <w:pPr>
        <w:spacing w:after="120"/>
        <w:rPr>
          <w:rFonts w:ascii="Verdana" w:hAnsi="Verdana"/>
          <w:sz w:val="19"/>
          <w:szCs w:val="19"/>
          <w:lang w:val="el-GR"/>
        </w:rPr>
      </w:pPr>
    </w:p>
    <w:p w:rsidR="0004198A" w:rsidRPr="00F94658" w:rsidRDefault="0004198A" w:rsidP="00F94658">
      <w:pPr>
        <w:spacing w:after="120"/>
        <w:rPr>
          <w:rFonts w:ascii="Verdana" w:hAnsi="Verdana"/>
          <w:b/>
          <w:bCs/>
          <w:i/>
          <w:sz w:val="19"/>
          <w:szCs w:val="19"/>
          <w:lang w:val="el-GR"/>
        </w:rPr>
      </w:pPr>
      <w:r w:rsidRPr="00F94658">
        <w:rPr>
          <w:rFonts w:ascii="Verdana" w:hAnsi="Verdana"/>
          <w:b/>
          <w:bCs/>
          <w:i/>
          <w:sz w:val="19"/>
          <w:szCs w:val="19"/>
          <w:lang w:val="el-GR"/>
        </w:rPr>
        <w:t xml:space="preserve">Άρθρο 2 - Αριθμός απασχολουμένων και οικονομικά όρια </w:t>
      </w:r>
      <w:r w:rsidR="000A4FBD" w:rsidRPr="00F94658">
        <w:rPr>
          <w:rFonts w:ascii="Verdana" w:hAnsi="Verdana"/>
          <w:b/>
          <w:bCs/>
          <w:i/>
          <w:sz w:val="19"/>
          <w:szCs w:val="19"/>
          <w:lang w:val="el-GR"/>
        </w:rPr>
        <w:t>προσδιορίζονται</w:t>
      </w:r>
      <w:r w:rsidRPr="00F94658">
        <w:rPr>
          <w:rFonts w:ascii="Verdana" w:hAnsi="Verdana"/>
          <w:b/>
          <w:bCs/>
          <w:i/>
          <w:sz w:val="19"/>
          <w:szCs w:val="19"/>
          <w:lang w:val="el-GR"/>
        </w:rPr>
        <w:t xml:space="preserve"> τις κατηγορίες επιχειρήσεων</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 </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rsidR="0004198A" w:rsidRDefault="0004198A" w:rsidP="00F94658">
      <w:pPr>
        <w:spacing w:after="120"/>
        <w:rPr>
          <w:rFonts w:ascii="Verdana" w:hAnsi="Verdana"/>
          <w:sz w:val="19"/>
          <w:szCs w:val="19"/>
          <w:lang w:val="el-GR"/>
        </w:rPr>
      </w:pPr>
      <w:r w:rsidRPr="00F94658">
        <w:rPr>
          <w:rFonts w:ascii="Verdana" w:hAnsi="Verdana"/>
          <w:sz w:val="19"/>
          <w:szCs w:val="19"/>
          <w:lang w:val="el-GR"/>
        </w:rPr>
        <w:t xml:space="preserve">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 </w:t>
      </w:r>
    </w:p>
    <w:p w:rsidR="00F94658" w:rsidRPr="00F94658" w:rsidRDefault="00F94658" w:rsidP="00F94658">
      <w:pPr>
        <w:numPr>
          <w:ilvl w:val="1"/>
          <w:numId w:val="1"/>
        </w:numPr>
        <w:tabs>
          <w:tab w:val="num" w:pos="426"/>
        </w:tabs>
        <w:spacing w:after="120"/>
        <w:ind w:left="426" w:hanging="284"/>
        <w:rPr>
          <w:rFonts w:ascii="Verdana" w:hAnsi="Verdana"/>
          <w:sz w:val="19"/>
          <w:szCs w:val="19"/>
          <w:lang w:val="el-GR"/>
        </w:rPr>
      </w:pPr>
    </w:p>
    <w:p w:rsidR="0004198A" w:rsidRPr="00F94658" w:rsidRDefault="0004198A" w:rsidP="00F94658">
      <w:pPr>
        <w:spacing w:after="120"/>
        <w:rPr>
          <w:rFonts w:ascii="Verdana" w:hAnsi="Verdana"/>
          <w:b/>
          <w:bCs/>
          <w:i/>
          <w:sz w:val="19"/>
          <w:szCs w:val="19"/>
          <w:lang w:val="el-GR"/>
        </w:rPr>
      </w:pPr>
      <w:r w:rsidRPr="00F94658">
        <w:rPr>
          <w:rFonts w:ascii="Verdana" w:hAnsi="Verdana"/>
          <w:b/>
          <w:bCs/>
          <w:i/>
          <w:sz w:val="19"/>
          <w:szCs w:val="19"/>
          <w:lang w:val="el-GR"/>
        </w:rPr>
        <w:t>Άρθρο 3 - Τύποι επιχειρήσεων που λαμβάνονται υπόψη για τον υπολογισμό του αριθμού απασχολουμένων και των χρηματικών ποσών</w:t>
      </w:r>
    </w:p>
    <w:p w:rsidR="0004198A" w:rsidRPr="00F94658" w:rsidRDefault="00E0503A" w:rsidP="00F94658">
      <w:pPr>
        <w:spacing w:after="120"/>
        <w:rPr>
          <w:rFonts w:ascii="Verdana" w:hAnsi="Verdana"/>
          <w:sz w:val="19"/>
          <w:szCs w:val="19"/>
          <w:lang w:val="el-GR"/>
        </w:rPr>
      </w:pPr>
      <w:r>
        <w:rPr>
          <w:rFonts w:ascii="Verdana" w:hAnsi="Verdana"/>
          <w:sz w:val="19"/>
          <w:szCs w:val="19"/>
          <w:lang w:val="el-GR"/>
        </w:rPr>
        <w:lastRenderedPageBreak/>
        <w:t xml:space="preserve">1. </w:t>
      </w:r>
      <w:r w:rsidR="0004198A" w:rsidRPr="00F94658">
        <w:rPr>
          <w:rFonts w:ascii="Verdana" w:hAnsi="Verdana"/>
          <w:sz w:val="19"/>
          <w:szCs w:val="19"/>
          <w:lang w:val="el-GR"/>
        </w:rPr>
        <w:t>«Ανεξάρτητη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rsidR="0004198A" w:rsidRPr="00F94658" w:rsidRDefault="00E0503A" w:rsidP="00F94658">
      <w:pPr>
        <w:spacing w:after="120"/>
        <w:rPr>
          <w:rFonts w:ascii="Verdana" w:hAnsi="Verdana"/>
          <w:sz w:val="19"/>
          <w:szCs w:val="19"/>
          <w:lang w:val="el-GR"/>
        </w:rPr>
      </w:pPr>
      <w:r>
        <w:rPr>
          <w:rFonts w:ascii="Verdana" w:hAnsi="Verdana"/>
          <w:sz w:val="19"/>
          <w:szCs w:val="19"/>
          <w:lang w:val="el-GR"/>
        </w:rPr>
        <w:t xml:space="preserve">2. </w:t>
      </w:r>
      <w:r w:rsidR="0004198A" w:rsidRPr="00F94658">
        <w:rPr>
          <w:rFonts w:ascii="Verdana" w:hAnsi="Verdana"/>
          <w:sz w:val="19"/>
          <w:szCs w:val="19"/>
          <w:lang w:val="el-GR"/>
        </w:rPr>
        <w:t>«Συνεργαζόμενες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w:t>
      </w:r>
      <w:proofErr w:type="spellStart"/>
      <w:r w:rsidR="0004198A" w:rsidRPr="00F94658">
        <w:rPr>
          <w:rFonts w:ascii="Verdana" w:hAnsi="Verdana"/>
          <w:sz w:val="19"/>
          <w:szCs w:val="19"/>
          <w:lang w:val="el-GR"/>
        </w:rPr>
        <w:t>ανάντη</w:t>
      </w:r>
      <w:proofErr w:type="spellEnd"/>
      <w:r w:rsidR="0004198A" w:rsidRPr="00F94658">
        <w:rPr>
          <w:rFonts w:ascii="Verdana" w:hAnsi="Verdana"/>
          <w:sz w:val="19"/>
          <w:szCs w:val="19"/>
          <w:lang w:val="el-GR"/>
        </w:rPr>
        <w:t xml:space="preserve"> επιχείρηση) κατέχει, μόνη ή από κοινού με μία ή περισσότερες συνδεδεμένες επιχειρήσεις κατά την έννοια της παραγράφου 3, το 25 % ή περισσότερο του κεφαλαίου ή των δικαιωμάτων ψήφου μιας άλλης επιχείρησης (</w:t>
      </w:r>
      <w:proofErr w:type="spellStart"/>
      <w:r w:rsidR="0004198A" w:rsidRPr="00F94658">
        <w:rPr>
          <w:rFonts w:ascii="Verdana" w:hAnsi="Verdana"/>
          <w:sz w:val="19"/>
          <w:szCs w:val="19"/>
          <w:lang w:val="el-GR"/>
        </w:rPr>
        <w:t>κατάντη</w:t>
      </w:r>
      <w:proofErr w:type="spellEnd"/>
      <w:r w:rsidR="0004198A" w:rsidRPr="00F94658">
        <w:rPr>
          <w:rFonts w:ascii="Verdana" w:hAnsi="Verdana"/>
          <w:sz w:val="19"/>
          <w:szCs w:val="19"/>
          <w:lang w:val="el-GR"/>
        </w:rPr>
        <w:t xml:space="preserve"> επιχείρησης). </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Ωστόσο, μια επιχείρηση μπορεί να χαρακτηριστεί ως ανεξάρτητη, μη έχουσα δηλαδή συνεργαζόμενες επιχειρήσεις, ακόμη και εάν το όριο του 25% καλύπτεται ή υπερκαλύπτεται, εφόσον το ποσοστό αυτό ελέγχεται από τις ακόλουθες κατηγορίες επενδυτών και υπό την προϋπόθεση ότι αυτοί δεν είναι, μεμονωμένα ή από κοινού, συνδεδεμένοι κατά την έννοια της παραγράφου 3 με την εν λόγω επιχείρηση: </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α) 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w:t>
      </w:r>
      <w:proofErr w:type="spellStart"/>
      <w:r w:rsidRPr="00F94658">
        <w:rPr>
          <w:rFonts w:ascii="Verdana" w:hAnsi="Verdana"/>
          <w:sz w:val="19"/>
          <w:szCs w:val="19"/>
          <w:lang w:val="el-GR"/>
        </w:rPr>
        <w:t>business</w:t>
      </w:r>
      <w:proofErr w:type="spellEnd"/>
      <w:r w:rsidRPr="00F94658">
        <w:rPr>
          <w:rFonts w:ascii="Verdana" w:hAnsi="Verdana"/>
          <w:sz w:val="19"/>
          <w:szCs w:val="19"/>
          <w:lang w:val="el-GR"/>
        </w:rPr>
        <w:t xml:space="preserve"> </w:t>
      </w:r>
      <w:proofErr w:type="spellStart"/>
      <w:r w:rsidRPr="00F94658">
        <w:rPr>
          <w:rFonts w:ascii="Verdana" w:hAnsi="Verdana"/>
          <w:sz w:val="19"/>
          <w:szCs w:val="19"/>
          <w:lang w:val="el-GR"/>
        </w:rPr>
        <w:t>angels</w:t>
      </w:r>
      <w:proofErr w:type="spellEnd"/>
      <w:r w:rsidRPr="00F94658">
        <w:rPr>
          <w:rFonts w:ascii="Verdana" w:hAnsi="Verdana"/>
          <w:sz w:val="19"/>
          <w:szCs w:val="19"/>
          <w:lang w:val="el-GR"/>
        </w:rPr>
        <w:t xml:space="preserve">), εφόσον το σύνολο της επένδυσης αυτής σε μία επιχείρηση δεν υπερβαίνει τα 1.250.000 ευρώ, </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β) πανεπιστήμια ή ερευνητικά κέντρα μη κερδοσκοπικού σκοπού, </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γ) θεσμικοί επενδυτές, συμπεριλαμβανομένων των ταμείων περιφερειακής ανάπτυξης, </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δ) αυτόνομες τοπικές αρχές με ετήσιο προϋπολογισμό μικρότερο από 10 εκατ. ευρώ και με λιγότερους από 5.000 κατοίκους. </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3.  «Συνδεδεμένες επιχειρήσεις» είναι οι επιχειρήσεις που διατηρούν μεταξύ τους μία από τις ακόλουθες σχέσεις: </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α) μία επιχείρηση κατέχει την πλειοψηφία των δικαιωμάτων ψήφου των μετόχων ή των εταίρων άλλης επιχείρησης,</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 β) μία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γ)  μία επιχείρηση έχει το δικαίωμα να ασκεί κυριαρχική επιρροή σε άλλη επιχείρηση βάσει σύμβασης που έχει συνάψει με αυτήν ή δυνάμει ρήτρας του καταστατικού της τελευταίας, </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lastRenderedPageBreak/>
        <w:t xml:space="preserve">δ)  μία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Τεκμαίρεται ότι δεν υπάρχει κυριαρχική επιρροή, εφόσον οι 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 </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 xml:space="preserve">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αγορά ή σε όμορες αγορές. Ως «όμορη αγορά» νοείται η αγορά προϊόντος ή υπηρεσίας που βρίσκεται αμέσως </w:t>
      </w:r>
      <w:proofErr w:type="spellStart"/>
      <w:r w:rsidRPr="00F94658">
        <w:rPr>
          <w:rFonts w:ascii="Verdana" w:hAnsi="Verdana"/>
          <w:sz w:val="19"/>
          <w:szCs w:val="19"/>
          <w:lang w:val="el-GR"/>
        </w:rPr>
        <w:t>ανάντη</w:t>
      </w:r>
      <w:proofErr w:type="spellEnd"/>
      <w:r w:rsidRPr="00F94658">
        <w:rPr>
          <w:rFonts w:ascii="Verdana" w:hAnsi="Verdana"/>
          <w:sz w:val="19"/>
          <w:szCs w:val="19"/>
          <w:lang w:val="el-GR"/>
        </w:rPr>
        <w:t xml:space="preserve"> ή </w:t>
      </w:r>
      <w:proofErr w:type="spellStart"/>
      <w:r w:rsidRPr="00F94658">
        <w:rPr>
          <w:rFonts w:ascii="Verdana" w:hAnsi="Verdana"/>
          <w:sz w:val="19"/>
          <w:szCs w:val="19"/>
          <w:lang w:val="el-GR"/>
        </w:rPr>
        <w:t>κατάντη</w:t>
      </w:r>
      <w:proofErr w:type="spellEnd"/>
      <w:r w:rsidRPr="00F94658">
        <w:rPr>
          <w:rFonts w:ascii="Verdana" w:hAnsi="Verdana"/>
          <w:sz w:val="19"/>
          <w:szCs w:val="19"/>
          <w:lang w:val="el-GR"/>
        </w:rPr>
        <w:t xml:space="preserve"> της σχετικής αγοράς.</w:t>
      </w:r>
    </w:p>
    <w:p w:rsidR="0004198A" w:rsidRPr="00F94658" w:rsidRDefault="00E0503A" w:rsidP="00E0503A">
      <w:pPr>
        <w:spacing w:after="120"/>
        <w:rPr>
          <w:rFonts w:ascii="Verdana" w:hAnsi="Verdana"/>
          <w:sz w:val="19"/>
          <w:szCs w:val="19"/>
          <w:lang w:val="el-GR"/>
        </w:rPr>
      </w:pPr>
      <w:r>
        <w:rPr>
          <w:rFonts w:ascii="Verdana" w:hAnsi="Verdana"/>
          <w:sz w:val="19"/>
          <w:szCs w:val="19"/>
          <w:lang w:val="el-GR"/>
        </w:rPr>
        <w:t xml:space="preserve">4. </w:t>
      </w:r>
      <w:r w:rsidR="0004198A" w:rsidRPr="00F94658">
        <w:rPr>
          <w:rFonts w:ascii="Verdana" w:hAnsi="Verdana"/>
          <w:sz w:val="19"/>
          <w:szCs w:val="19"/>
          <w:lang w:val="el-GR"/>
        </w:rPr>
        <w:t xml:space="preserve">Εκτός από τις περιπτώσεις που ορίζονται στην </w:t>
      </w:r>
      <w:r>
        <w:rPr>
          <w:rFonts w:ascii="Verdana" w:hAnsi="Verdana"/>
          <w:sz w:val="19"/>
          <w:szCs w:val="19"/>
          <w:lang w:val="el-GR"/>
        </w:rPr>
        <w:t xml:space="preserve">παράγραφο 2 δεύτερο εδάφιο, μια </w:t>
      </w:r>
      <w:r w:rsidR="0004198A" w:rsidRPr="00F94658">
        <w:rPr>
          <w:rFonts w:ascii="Verdana" w:hAnsi="Verdana"/>
          <w:sz w:val="19"/>
          <w:szCs w:val="19"/>
          <w:lang w:val="el-GR"/>
        </w:rPr>
        <w:t xml:space="preserve">επιχείρηση δεν μπορεί να θεωρηθεί ΜΜΕ εάν το 25 % ή περισσότερο του κεφαλαίου της ή των δικαιωμάτων ψήφου της ελέγχεται, άμεσα ή έμμεσα, από έναν ή περισσότερους δημόσιους φορείς, μεμονωμένα ή από κοινού. </w:t>
      </w:r>
    </w:p>
    <w:p w:rsidR="0004198A" w:rsidRDefault="0004198A" w:rsidP="00E0503A">
      <w:pPr>
        <w:spacing w:after="120"/>
        <w:rPr>
          <w:rFonts w:ascii="Verdana" w:hAnsi="Verdana"/>
          <w:sz w:val="19"/>
          <w:szCs w:val="19"/>
          <w:lang w:val="el-GR"/>
        </w:rPr>
      </w:pPr>
      <w:r w:rsidRPr="00F94658">
        <w:rPr>
          <w:rFonts w:ascii="Verdana" w:hAnsi="Verdana"/>
          <w:sz w:val="19"/>
          <w:szCs w:val="19"/>
          <w:lang w:val="el-GR"/>
        </w:rPr>
        <w:t xml:space="preserve">5. Μία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Pr="00F94658">
        <w:rPr>
          <w:rFonts w:ascii="Verdana" w:hAnsi="Verdana"/>
          <w:sz w:val="19"/>
          <w:szCs w:val="19"/>
          <w:lang w:val="el-GR"/>
        </w:rPr>
        <w:t>ενωσιακές</w:t>
      </w:r>
      <w:proofErr w:type="spellEnd"/>
      <w:r w:rsidRPr="00F94658">
        <w:rPr>
          <w:rFonts w:ascii="Verdana" w:hAnsi="Verdana"/>
          <w:sz w:val="19"/>
          <w:szCs w:val="19"/>
          <w:lang w:val="el-GR"/>
        </w:rPr>
        <w:t xml:space="preserve"> διατάξεις.</w:t>
      </w:r>
    </w:p>
    <w:p w:rsidR="00F94658" w:rsidRPr="00F94658" w:rsidRDefault="00F94658" w:rsidP="00F94658">
      <w:pPr>
        <w:spacing w:after="120"/>
        <w:ind w:left="284" w:hanging="284"/>
        <w:rPr>
          <w:rFonts w:ascii="Verdana" w:hAnsi="Verdana"/>
          <w:sz w:val="19"/>
          <w:szCs w:val="19"/>
          <w:lang w:val="el-GR"/>
        </w:rPr>
      </w:pPr>
    </w:p>
    <w:p w:rsidR="0004198A" w:rsidRPr="00F94658" w:rsidRDefault="0004198A" w:rsidP="00F94658">
      <w:pPr>
        <w:spacing w:after="120"/>
        <w:rPr>
          <w:rFonts w:ascii="Verdana" w:hAnsi="Verdana"/>
          <w:b/>
          <w:bCs/>
          <w:i/>
          <w:sz w:val="19"/>
          <w:szCs w:val="19"/>
          <w:lang w:val="el-GR"/>
        </w:rPr>
      </w:pPr>
      <w:r w:rsidRPr="00F94658">
        <w:rPr>
          <w:rFonts w:ascii="Verdana" w:hAnsi="Verdana"/>
          <w:b/>
          <w:bCs/>
          <w:i/>
          <w:sz w:val="19"/>
          <w:szCs w:val="19"/>
          <w:lang w:val="el-GR"/>
        </w:rPr>
        <w:t xml:space="preserve"> Άρθρο 4 - Στοιχεία για τον υπολογισμό του αριθμού απασχολουμένων και των χρηματικών ποσών και περίοδος αναφοράς </w:t>
      </w:r>
    </w:p>
    <w:p w:rsidR="0004198A" w:rsidRPr="00F94658" w:rsidRDefault="0004198A" w:rsidP="00F94658">
      <w:pPr>
        <w:spacing w:after="120"/>
        <w:ind w:left="284" w:hanging="284"/>
        <w:rPr>
          <w:rFonts w:ascii="Verdana" w:hAnsi="Verdana"/>
          <w:sz w:val="19"/>
          <w:szCs w:val="19"/>
          <w:lang w:val="el-GR"/>
        </w:rPr>
      </w:pPr>
      <w:r w:rsidRPr="00F94658">
        <w:rPr>
          <w:rFonts w:ascii="Verdana" w:hAnsi="Verdana"/>
          <w:sz w:val="19"/>
          <w:szCs w:val="19"/>
          <w:lang w:val="el-GR"/>
        </w:rPr>
        <w:lastRenderedPageBreak/>
        <w:t xml:space="preserve">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 </w:t>
      </w:r>
    </w:p>
    <w:p w:rsidR="0004198A" w:rsidRPr="00F94658" w:rsidRDefault="0004198A" w:rsidP="00F94658">
      <w:pPr>
        <w:spacing w:after="120"/>
        <w:ind w:left="284" w:hanging="284"/>
        <w:rPr>
          <w:rFonts w:ascii="Verdana" w:hAnsi="Verdana"/>
          <w:sz w:val="19"/>
          <w:szCs w:val="19"/>
          <w:lang w:val="el-GR"/>
        </w:rPr>
      </w:pPr>
      <w:r w:rsidRPr="00F94658">
        <w:rPr>
          <w:rFonts w:ascii="Verdana" w:hAnsi="Verdana"/>
          <w:sz w:val="19"/>
          <w:szCs w:val="19"/>
          <w:lang w:val="el-GR"/>
        </w:rPr>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την απώλεια της ιδιότητας της μεσαίας, μικρής ή πολύ μικρής επιχείρησης μόνον εάν η υπέρβαση των εν λόγω ορίων επαναληφθεί επί δύο διαδοχικά οικονομικά έτη. </w:t>
      </w:r>
    </w:p>
    <w:p w:rsidR="0004198A" w:rsidRDefault="0004198A" w:rsidP="00F94658">
      <w:pPr>
        <w:spacing w:after="120"/>
        <w:ind w:left="284" w:hanging="284"/>
        <w:rPr>
          <w:rFonts w:ascii="Verdana" w:hAnsi="Verdana"/>
          <w:sz w:val="19"/>
          <w:szCs w:val="19"/>
          <w:lang w:val="el-GR"/>
        </w:rPr>
      </w:pPr>
      <w:r w:rsidRPr="00F94658">
        <w:rPr>
          <w:rFonts w:ascii="Verdana" w:hAnsi="Verdana"/>
          <w:sz w:val="19"/>
          <w:szCs w:val="19"/>
          <w:lang w:val="el-GR"/>
        </w:rPr>
        <w:t xml:space="preserve">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 </w:t>
      </w:r>
    </w:p>
    <w:p w:rsidR="00F94658" w:rsidRPr="00F94658" w:rsidRDefault="00F94658" w:rsidP="00F94658">
      <w:pPr>
        <w:spacing w:after="120"/>
        <w:ind w:left="284" w:hanging="284"/>
        <w:rPr>
          <w:rFonts w:ascii="Verdana" w:hAnsi="Verdana"/>
          <w:sz w:val="19"/>
          <w:szCs w:val="19"/>
          <w:lang w:val="el-GR"/>
        </w:rPr>
      </w:pPr>
    </w:p>
    <w:p w:rsidR="0004198A" w:rsidRPr="00F94658" w:rsidRDefault="0004198A" w:rsidP="00F94658">
      <w:pPr>
        <w:spacing w:after="120"/>
        <w:rPr>
          <w:rFonts w:ascii="Verdana" w:hAnsi="Verdana"/>
          <w:b/>
          <w:bCs/>
          <w:i/>
          <w:sz w:val="19"/>
          <w:szCs w:val="19"/>
          <w:lang w:val="el-GR"/>
        </w:rPr>
      </w:pPr>
      <w:r w:rsidRPr="00F94658">
        <w:rPr>
          <w:rFonts w:ascii="Verdana" w:hAnsi="Verdana"/>
          <w:b/>
          <w:i/>
          <w:iCs/>
          <w:sz w:val="19"/>
          <w:szCs w:val="19"/>
          <w:lang w:val="el-GR"/>
        </w:rPr>
        <w:t xml:space="preserve">Άρθρο 5 - </w:t>
      </w:r>
      <w:r w:rsidRPr="00F94658">
        <w:rPr>
          <w:rFonts w:ascii="Verdana" w:hAnsi="Verdana"/>
          <w:b/>
          <w:bCs/>
          <w:i/>
          <w:sz w:val="19"/>
          <w:szCs w:val="19"/>
          <w:lang w:val="el-GR"/>
        </w:rPr>
        <w:t xml:space="preserve">Ο αριθμός απασχολουμένων </w:t>
      </w:r>
    </w:p>
    <w:p w:rsidR="0004198A" w:rsidRPr="00F94658" w:rsidRDefault="0004198A" w:rsidP="00F94658">
      <w:pPr>
        <w:spacing w:after="120"/>
        <w:rPr>
          <w:rFonts w:ascii="Verdana" w:hAnsi="Verdana"/>
          <w:sz w:val="19"/>
          <w:szCs w:val="19"/>
          <w:lang w:val="el-GR"/>
        </w:rPr>
      </w:pPr>
      <w:r w:rsidRPr="00F94658">
        <w:rPr>
          <w:rFonts w:ascii="Verdana" w:hAnsi="Verdana"/>
          <w:sz w:val="19"/>
          <w:szCs w:val="19"/>
          <w:lang w:val="el-GR"/>
        </w:rPr>
        <w:t>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διάρκεια, και οι εργαζόμενοι σε εποχική βάση αντιστοιχούν σε κλάσματα των ΕΜΕ. Στον αριθμό απασχολουμένων περιλαμβάνονται:</w:t>
      </w:r>
    </w:p>
    <w:p w:rsidR="0004198A" w:rsidRPr="00F94658" w:rsidRDefault="0004198A" w:rsidP="00F94658">
      <w:pPr>
        <w:spacing w:after="120"/>
        <w:ind w:left="426" w:hanging="284"/>
        <w:rPr>
          <w:rFonts w:ascii="Verdana" w:hAnsi="Verdana"/>
          <w:sz w:val="19"/>
          <w:szCs w:val="19"/>
          <w:lang w:val="el-GR"/>
        </w:rPr>
      </w:pPr>
      <w:r w:rsidRPr="00F94658">
        <w:rPr>
          <w:rFonts w:ascii="Verdana" w:hAnsi="Verdana"/>
          <w:sz w:val="19"/>
          <w:szCs w:val="19"/>
          <w:lang w:val="el-GR"/>
        </w:rPr>
        <w:t xml:space="preserve">α) οι μισθωτοί </w:t>
      </w:r>
    </w:p>
    <w:p w:rsidR="0004198A" w:rsidRPr="00F94658" w:rsidRDefault="0004198A" w:rsidP="00F94658">
      <w:pPr>
        <w:spacing w:after="120"/>
        <w:ind w:left="426" w:hanging="284"/>
        <w:rPr>
          <w:rFonts w:ascii="Verdana" w:hAnsi="Verdana"/>
          <w:sz w:val="19"/>
          <w:szCs w:val="19"/>
          <w:lang w:val="el-GR"/>
        </w:rPr>
      </w:pPr>
      <w:r w:rsidRPr="00F94658">
        <w:rPr>
          <w:rFonts w:ascii="Verdana" w:hAnsi="Verdana"/>
          <w:sz w:val="19"/>
          <w:szCs w:val="19"/>
          <w:lang w:val="el-GR"/>
        </w:rPr>
        <w:t>β) τα άτομα που εργάζονται για την επιχείρηση, έχουν σχέση εξάρτησης προς αυτήν και εξομοιώνονται με μισθωτούς με βάση το εθνικό δίκαιο,</w:t>
      </w:r>
    </w:p>
    <w:p w:rsidR="0004198A" w:rsidRPr="00F94658" w:rsidRDefault="0004198A" w:rsidP="00F94658">
      <w:pPr>
        <w:spacing w:after="120"/>
        <w:ind w:left="426" w:hanging="284"/>
        <w:rPr>
          <w:rFonts w:ascii="Verdana" w:hAnsi="Verdana"/>
          <w:sz w:val="19"/>
          <w:szCs w:val="19"/>
          <w:lang w:val="el-GR"/>
        </w:rPr>
      </w:pPr>
      <w:r w:rsidRPr="00F94658">
        <w:rPr>
          <w:rFonts w:ascii="Verdana" w:hAnsi="Verdana"/>
          <w:sz w:val="19"/>
          <w:szCs w:val="19"/>
          <w:lang w:val="el-GR"/>
        </w:rPr>
        <w:t>γ) οι ιδιοκτήτες επιχειρηματίες,</w:t>
      </w:r>
    </w:p>
    <w:p w:rsidR="0004198A" w:rsidRPr="00F94658" w:rsidRDefault="0004198A" w:rsidP="00F94658">
      <w:pPr>
        <w:spacing w:after="120"/>
        <w:ind w:left="426" w:hanging="284"/>
        <w:rPr>
          <w:rFonts w:ascii="Verdana" w:hAnsi="Verdana"/>
          <w:sz w:val="19"/>
          <w:szCs w:val="19"/>
          <w:lang w:val="el-GR"/>
        </w:rPr>
      </w:pPr>
      <w:r w:rsidRPr="00F94658">
        <w:rPr>
          <w:rFonts w:ascii="Verdana" w:hAnsi="Verdana"/>
          <w:sz w:val="19"/>
          <w:szCs w:val="19"/>
          <w:lang w:val="el-GR"/>
        </w:rPr>
        <w:t xml:space="preserve">δ) οι εταίροι που ασκούν τακτική δραστηριότητα εντός της επιχείρησης και προσπορίζονται οικονομικά οφέλη από την επιχείρηση. </w:t>
      </w:r>
    </w:p>
    <w:p w:rsidR="0004198A" w:rsidRDefault="0004198A" w:rsidP="00F94658">
      <w:pPr>
        <w:spacing w:after="120"/>
        <w:rPr>
          <w:rFonts w:ascii="Verdana" w:hAnsi="Verdana"/>
          <w:sz w:val="19"/>
          <w:szCs w:val="19"/>
          <w:lang w:val="el-GR"/>
        </w:rPr>
      </w:pPr>
      <w:r w:rsidRPr="00F94658">
        <w:rPr>
          <w:rFonts w:ascii="Verdana" w:hAnsi="Verdana"/>
          <w:sz w:val="19"/>
          <w:szCs w:val="19"/>
          <w:lang w:val="el-GR"/>
        </w:rPr>
        <w:t xml:space="preserve">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w:t>
      </w:r>
      <w:r w:rsidRPr="00F94658">
        <w:rPr>
          <w:rFonts w:ascii="Verdana" w:hAnsi="Verdana"/>
          <w:sz w:val="19"/>
          <w:szCs w:val="19"/>
          <w:lang w:val="el-GR"/>
        </w:rPr>
        <w:lastRenderedPageBreak/>
        <w:t xml:space="preserve">αριθμό απασχολουμένων. Η διάρκεια των αδειών μητρότητας ή των γονικών αδειών δεν συνυπολογίζεται. </w:t>
      </w:r>
    </w:p>
    <w:p w:rsidR="00F94658" w:rsidRPr="00F94658" w:rsidRDefault="00F94658" w:rsidP="00F94658">
      <w:pPr>
        <w:spacing w:after="120"/>
        <w:rPr>
          <w:rFonts w:ascii="Verdana" w:hAnsi="Verdana"/>
          <w:sz w:val="19"/>
          <w:szCs w:val="19"/>
          <w:lang w:val="el-GR"/>
        </w:rPr>
      </w:pPr>
    </w:p>
    <w:p w:rsidR="0004198A" w:rsidRPr="00F94658" w:rsidRDefault="0004198A" w:rsidP="00F94658">
      <w:pPr>
        <w:spacing w:after="120"/>
        <w:rPr>
          <w:rFonts w:ascii="Verdana" w:hAnsi="Verdana"/>
          <w:b/>
          <w:bCs/>
          <w:i/>
          <w:sz w:val="19"/>
          <w:szCs w:val="19"/>
          <w:lang w:val="el-GR"/>
        </w:rPr>
      </w:pPr>
      <w:r w:rsidRPr="00F94658">
        <w:rPr>
          <w:rFonts w:ascii="Verdana" w:hAnsi="Verdana"/>
          <w:b/>
          <w:i/>
          <w:iCs/>
          <w:sz w:val="19"/>
          <w:szCs w:val="19"/>
          <w:lang w:val="el-GR"/>
        </w:rPr>
        <w:t xml:space="preserve">Άρθρο 6 - </w:t>
      </w:r>
      <w:r w:rsidRPr="00F94658">
        <w:rPr>
          <w:rFonts w:ascii="Verdana" w:hAnsi="Verdana"/>
          <w:b/>
          <w:bCs/>
          <w:i/>
          <w:sz w:val="19"/>
          <w:szCs w:val="19"/>
          <w:lang w:val="el-GR"/>
        </w:rPr>
        <w:t>Καθορισμός των στοιχείων της επιχείρησης</w:t>
      </w:r>
    </w:p>
    <w:p w:rsidR="0004198A" w:rsidRPr="00F94658" w:rsidRDefault="0004198A" w:rsidP="00F94658">
      <w:pPr>
        <w:spacing w:after="120"/>
        <w:ind w:left="284" w:hanging="284"/>
        <w:rPr>
          <w:rFonts w:ascii="Verdana" w:hAnsi="Verdana"/>
          <w:sz w:val="19"/>
          <w:szCs w:val="19"/>
          <w:lang w:val="el-GR"/>
        </w:rPr>
      </w:pPr>
      <w:r w:rsidRPr="00F94658">
        <w:rPr>
          <w:rFonts w:ascii="Verdana" w:hAnsi="Verdana"/>
          <w:b/>
          <w:bCs/>
          <w:sz w:val="19"/>
          <w:szCs w:val="19"/>
          <w:lang w:val="el-GR"/>
        </w:rPr>
        <w:t xml:space="preserve"> </w:t>
      </w:r>
      <w:r w:rsidRPr="00F94658">
        <w:rPr>
          <w:rFonts w:ascii="Verdana" w:hAnsi="Verdana"/>
          <w:sz w:val="19"/>
          <w:szCs w:val="19"/>
          <w:lang w:val="el-GR"/>
        </w:rPr>
        <w:t xml:space="preserve">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 </w:t>
      </w:r>
    </w:p>
    <w:p w:rsidR="0004198A" w:rsidRPr="00F94658" w:rsidRDefault="0004198A" w:rsidP="00F94658">
      <w:pPr>
        <w:spacing w:after="120"/>
        <w:ind w:left="284" w:hanging="284"/>
        <w:rPr>
          <w:rFonts w:ascii="Verdana" w:hAnsi="Verdana"/>
          <w:sz w:val="19"/>
          <w:szCs w:val="19"/>
          <w:lang w:val="el-GR"/>
        </w:rPr>
      </w:pPr>
      <w:r w:rsidRPr="00F94658">
        <w:rPr>
          <w:rFonts w:ascii="Verdana" w:hAnsi="Verdana"/>
          <w:sz w:val="19"/>
          <w:szCs w:val="19"/>
          <w:lang w:val="el-GR"/>
        </w:rPr>
        <w:t xml:space="preserve">2.  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 εφόσον υπάρχουν— τους ενοποιημένους λογαριασμούς της επιχείρησης ή τους ενοποιημένους λογαριασμούς στους οποίους περιλαμβάνεται και η εξεταζόμενη επιχείρηση βάσει ενοποίησης. </w:t>
      </w:r>
    </w:p>
    <w:p w:rsidR="0004198A" w:rsidRPr="00F94658" w:rsidRDefault="0004198A" w:rsidP="00F94658">
      <w:pPr>
        <w:spacing w:after="120"/>
        <w:ind w:left="284"/>
        <w:rPr>
          <w:rFonts w:ascii="Verdana" w:hAnsi="Verdana"/>
          <w:sz w:val="19"/>
          <w:szCs w:val="19"/>
          <w:lang w:val="el-GR"/>
        </w:rPr>
      </w:pPr>
      <w:r w:rsidRPr="00F94658">
        <w:rPr>
          <w:rFonts w:ascii="Verdana" w:hAnsi="Verdana"/>
          <w:sz w:val="19"/>
          <w:szCs w:val="19"/>
          <w:lang w:val="el-GR"/>
        </w:rPr>
        <w:t xml:space="preserve">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w:t>
      </w:r>
      <w:proofErr w:type="spellStart"/>
      <w:r w:rsidRPr="00F94658">
        <w:rPr>
          <w:rFonts w:ascii="Verdana" w:hAnsi="Verdana"/>
          <w:sz w:val="19"/>
          <w:szCs w:val="19"/>
          <w:lang w:val="el-GR"/>
        </w:rPr>
        <w:t>ανάντη</w:t>
      </w:r>
      <w:proofErr w:type="spellEnd"/>
      <w:r w:rsidRPr="00F94658">
        <w:rPr>
          <w:rFonts w:ascii="Verdana" w:hAnsi="Verdana"/>
          <w:sz w:val="19"/>
          <w:szCs w:val="19"/>
          <w:lang w:val="el-GR"/>
        </w:rPr>
        <w:t xml:space="preserve"> ή </w:t>
      </w:r>
      <w:proofErr w:type="spellStart"/>
      <w:r w:rsidRPr="00F94658">
        <w:rPr>
          <w:rFonts w:ascii="Verdana" w:hAnsi="Verdana"/>
          <w:sz w:val="19"/>
          <w:szCs w:val="19"/>
          <w:lang w:val="el-GR"/>
        </w:rPr>
        <w:t>κατάντη</w:t>
      </w:r>
      <w:proofErr w:type="spellEnd"/>
      <w:r w:rsidRPr="00F94658">
        <w:rPr>
          <w:rFonts w:ascii="Verdana" w:hAnsi="Verdana"/>
          <w:sz w:val="19"/>
          <w:szCs w:val="19"/>
          <w:lang w:val="el-GR"/>
        </w:rPr>
        <w:t xml:space="preserve">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 </w:t>
      </w:r>
    </w:p>
    <w:p w:rsidR="0004198A" w:rsidRPr="00F94658" w:rsidRDefault="0004198A" w:rsidP="00F94658">
      <w:pPr>
        <w:spacing w:after="120"/>
        <w:ind w:left="284"/>
        <w:rPr>
          <w:rFonts w:ascii="Verdana" w:hAnsi="Verdana"/>
          <w:sz w:val="19"/>
          <w:szCs w:val="19"/>
          <w:lang w:val="el-GR"/>
        </w:rPr>
      </w:pPr>
      <w:r w:rsidRPr="00F94658">
        <w:rPr>
          <w:rFonts w:ascii="Verdana" w:hAnsi="Verdana"/>
          <w:sz w:val="19"/>
          <w:szCs w:val="19"/>
          <w:lang w:val="el-GR"/>
        </w:rPr>
        <w:t xml:space="preserve">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 </w:t>
      </w:r>
    </w:p>
    <w:p w:rsidR="0004198A" w:rsidRPr="00F94658" w:rsidRDefault="0004198A" w:rsidP="00F94658">
      <w:pPr>
        <w:spacing w:after="120"/>
        <w:ind w:left="284" w:hanging="284"/>
        <w:rPr>
          <w:rFonts w:ascii="Verdana" w:hAnsi="Verdana"/>
          <w:sz w:val="19"/>
          <w:szCs w:val="19"/>
          <w:lang w:val="el-GR"/>
        </w:rPr>
      </w:pPr>
      <w:r w:rsidRPr="00F94658">
        <w:rPr>
          <w:rFonts w:ascii="Verdana" w:hAnsi="Verdana"/>
          <w:sz w:val="19"/>
          <w:szCs w:val="19"/>
          <w:lang w:val="el-GR"/>
        </w:rPr>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 των στοιχείων των επιχειρήσεων που συνδέονται με αυτές τις συνεργαζόμενες επιχειρήσεις, εκτός εάν τα στοιχεία τους περιλαμβάνονται ήδη βάσει ενοποίησης. </w:t>
      </w:r>
    </w:p>
    <w:p w:rsidR="0004198A" w:rsidRPr="00F94658" w:rsidRDefault="00F94658" w:rsidP="00F94658">
      <w:pPr>
        <w:spacing w:after="120"/>
        <w:ind w:left="284" w:hanging="284"/>
        <w:rPr>
          <w:rFonts w:ascii="Verdana" w:hAnsi="Verdana"/>
          <w:sz w:val="19"/>
          <w:szCs w:val="19"/>
          <w:lang w:val="el-GR"/>
        </w:rPr>
      </w:pPr>
      <w:r>
        <w:rPr>
          <w:rFonts w:ascii="Verdana" w:hAnsi="Verdana"/>
          <w:sz w:val="19"/>
          <w:szCs w:val="19"/>
          <w:lang w:val="el-GR"/>
        </w:rPr>
        <w:t xml:space="preserve">    </w:t>
      </w:r>
      <w:r w:rsidR="0004198A" w:rsidRPr="00F94658">
        <w:rPr>
          <w:rFonts w:ascii="Verdana" w:hAnsi="Verdana"/>
          <w:sz w:val="19"/>
          <w:szCs w:val="19"/>
          <w:lang w:val="el-GR"/>
        </w:rPr>
        <w:t xml:space="preserve">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w:t>
      </w:r>
      <w:r w:rsidR="0004198A" w:rsidRPr="00F94658">
        <w:rPr>
          <w:rFonts w:ascii="Verdana" w:hAnsi="Verdana"/>
          <w:sz w:val="19"/>
          <w:szCs w:val="19"/>
          <w:lang w:val="el-GR"/>
        </w:rPr>
        <w:lastRenderedPageBreak/>
        <w:t xml:space="preserve">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w:t>
      </w:r>
      <w:proofErr w:type="spellStart"/>
      <w:r w:rsidR="0004198A" w:rsidRPr="00F94658">
        <w:rPr>
          <w:rFonts w:ascii="Verdana" w:hAnsi="Verdana"/>
          <w:sz w:val="19"/>
          <w:szCs w:val="19"/>
          <w:lang w:val="el-GR"/>
        </w:rPr>
        <w:t>ανάντη</w:t>
      </w:r>
      <w:proofErr w:type="spellEnd"/>
      <w:r w:rsidR="0004198A" w:rsidRPr="00F94658">
        <w:rPr>
          <w:rFonts w:ascii="Verdana" w:hAnsi="Verdana"/>
          <w:sz w:val="19"/>
          <w:szCs w:val="19"/>
          <w:lang w:val="el-GR"/>
        </w:rPr>
        <w:t xml:space="preserve"> ή </w:t>
      </w:r>
      <w:proofErr w:type="spellStart"/>
      <w:r w:rsidR="0004198A" w:rsidRPr="00F94658">
        <w:rPr>
          <w:rFonts w:ascii="Verdana" w:hAnsi="Verdana"/>
          <w:sz w:val="19"/>
          <w:szCs w:val="19"/>
          <w:lang w:val="el-GR"/>
        </w:rPr>
        <w:t>κατάντη</w:t>
      </w:r>
      <w:proofErr w:type="spellEnd"/>
      <w:r w:rsidR="0004198A" w:rsidRPr="00F94658">
        <w:rPr>
          <w:rFonts w:ascii="Verdana" w:hAnsi="Verdana"/>
          <w:sz w:val="19"/>
          <w:szCs w:val="19"/>
          <w:lang w:val="el-GR"/>
        </w:rPr>
        <w:t xml:space="preserve">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 </w:t>
      </w:r>
    </w:p>
    <w:p w:rsidR="00CA4C4D" w:rsidRPr="00F94658" w:rsidRDefault="0004198A" w:rsidP="00F94658">
      <w:pPr>
        <w:rPr>
          <w:rFonts w:ascii="Verdana" w:hAnsi="Verdana"/>
          <w:sz w:val="19"/>
          <w:szCs w:val="19"/>
          <w:lang w:val="el-GR"/>
        </w:rPr>
      </w:pPr>
      <w:r w:rsidRPr="00F94658">
        <w:rPr>
          <w:rFonts w:ascii="Verdana" w:hAnsi="Verdana"/>
          <w:sz w:val="19"/>
          <w:szCs w:val="19"/>
          <w:lang w:val="el-GR"/>
        </w:rPr>
        <w:t xml:space="preserve">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 </w:t>
      </w:r>
    </w:p>
    <w:sectPr w:rsidR="00CA4C4D" w:rsidRPr="00F94658">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658" w:rsidRDefault="00F94658" w:rsidP="00F94658">
      <w:pPr>
        <w:spacing w:line="240" w:lineRule="auto"/>
      </w:pPr>
      <w:r>
        <w:separator/>
      </w:r>
    </w:p>
  </w:endnote>
  <w:endnote w:type="continuationSeparator" w:id="0">
    <w:p w:rsidR="00F94658" w:rsidRDefault="00F94658" w:rsidP="00F946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20A" w:rsidRDefault="00BD420A">
    <w:pPr>
      <w:pStyle w:val="a4"/>
      <w:jc w:val="right"/>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0E2AD0" w:rsidRPr="000E2AD0" w:rsidTr="00986C91">
      <w:trPr>
        <w:trHeight w:val="1247"/>
        <w:jc w:val="center"/>
      </w:trPr>
      <w:tc>
        <w:tcPr>
          <w:tcW w:w="2410" w:type="dxa"/>
          <w:vAlign w:val="center"/>
          <w:hideMark/>
        </w:tcPr>
        <w:p w:rsidR="000E2AD0" w:rsidRPr="000E2AD0" w:rsidRDefault="000E2AD0" w:rsidP="000E2AD0">
          <w:pPr>
            <w:pStyle w:val="a4"/>
            <w:rPr>
              <w:lang w:val="el-GR"/>
            </w:rPr>
          </w:pPr>
          <w:r w:rsidRPr="000E2AD0">
            <w:rPr>
              <w:noProof/>
              <w:lang w:val="el-GR"/>
            </w:rPr>
            <w:drawing>
              <wp:inline distT="0" distB="0" distL="0" distR="0" wp14:anchorId="31B2CDA0" wp14:editId="338744F3">
                <wp:extent cx="1189355" cy="549910"/>
                <wp:effectExtent l="0" t="0" r="0" b="2540"/>
                <wp:docPr id="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rsidR="000E2AD0" w:rsidRPr="000E2AD0" w:rsidRDefault="000E2AD0" w:rsidP="000E2AD0">
          <w:pPr>
            <w:pStyle w:val="a4"/>
            <w:rPr>
              <w:lang w:val="el-GR"/>
            </w:rPr>
          </w:pPr>
          <w:r w:rsidRPr="000E2AD0">
            <w:rPr>
              <w:noProof/>
              <w:lang w:val="el-GR"/>
            </w:rPr>
            <w:drawing>
              <wp:inline distT="0" distB="0" distL="0" distR="0" wp14:anchorId="676CDF3D" wp14:editId="56BD1381">
                <wp:extent cx="1189355" cy="549910"/>
                <wp:effectExtent l="0" t="0" r="0" b="2540"/>
                <wp:docPr id="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rsidR="000E2AD0" w:rsidRPr="000E2AD0" w:rsidRDefault="000E2AD0" w:rsidP="000E2AD0">
          <w:pPr>
            <w:pStyle w:val="a4"/>
            <w:rPr>
              <w:lang w:val="el-GR"/>
            </w:rPr>
          </w:pPr>
          <w:r w:rsidRPr="000E2AD0">
            <w:rPr>
              <w:noProof/>
              <w:lang w:val="el-GR"/>
            </w:rPr>
            <w:drawing>
              <wp:inline distT="0" distB="0" distL="0" distR="0" wp14:anchorId="2EA22EBB" wp14:editId="1EE780DF">
                <wp:extent cx="549910" cy="549910"/>
                <wp:effectExtent l="0" t="0" r="2540" b="2540"/>
                <wp:docPr id="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rsidR="000E2AD0" w:rsidRPr="000E2AD0" w:rsidRDefault="000E2AD0" w:rsidP="000E2AD0">
          <w:pPr>
            <w:pStyle w:val="a4"/>
            <w:rPr>
              <w:lang w:val="el-GR"/>
            </w:rPr>
          </w:pPr>
          <w:r w:rsidRPr="000E2AD0">
            <w:rPr>
              <w:noProof/>
              <w:lang w:val="el-GR"/>
            </w:rPr>
            <w:drawing>
              <wp:inline distT="0" distB="0" distL="0" distR="0" wp14:anchorId="3247A2AF" wp14:editId="0138EBD8">
                <wp:extent cx="549910" cy="639445"/>
                <wp:effectExtent l="0" t="0" r="2540" b="8255"/>
                <wp:docPr id="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rsidR="000E2AD0" w:rsidRPr="000E2AD0" w:rsidRDefault="000E2AD0" w:rsidP="000E2AD0">
          <w:pPr>
            <w:pStyle w:val="a4"/>
            <w:rPr>
              <w:lang w:val="el-GR"/>
            </w:rPr>
          </w:pPr>
          <w:r w:rsidRPr="000E2AD0">
            <w:rPr>
              <w:noProof/>
              <w:lang w:val="el-GR"/>
            </w:rPr>
            <w:drawing>
              <wp:inline distT="0" distB="0" distL="0" distR="0" wp14:anchorId="7FBC6FE4" wp14:editId="7B1D8765">
                <wp:extent cx="914400" cy="549910"/>
                <wp:effectExtent l="0" t="0" r="0" b="2540"/>
                <wp:docPr id="1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rPr>
        <w:sz w:val="18"/>
        <w:szCs w:val="18"/>
      </w:rPr>
      <w:id w:val="594221996"/>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rsidR="000E2AD0" w:rsidRPr="000E2AD0" w:rsidRDefault="000E2AD0" w:rsidP="000E2AD0">
            <w:pPr>
              <w:pStyle w:val="a4"/>
              <w:jc w:val="right"/>
              <w:rPr>
                <w:sz w:val="18"/>
                <w:szCs w:val="18"/>
              </w:rPr>
            </w:pPr>
            <w:r w:rsidRPr="000E2AD0">
              <w:rPr>
                <w:sz w:val="18"/>
                <w:szCs w:val="18"/>
                <w:lang w:val="el-GR"/>
              </w:rPr>
              <w:t xml:space="preserve">Σελίδα </w:t>
            </w:r>
            <w:r w:rsidRPr="000E2AD0">
              <w:rPr>
                <w:b/>
                <w:bCs/>
                <w:sz w:val="18"/>
                <w:szCs w:val="18"/>
              </w:rPr>
              <w:fldChar w:fldCharType="begin"/>
            </w:r>
            <w:r w:rsidRPr="000E2AD0">
              <w:rPr>
                <w:b/>
                <w:bCs/>
                <w:sz w:val="18"/>
                <w:szCs w:val="18"/>
              </w:rPr>
              <w:instrText>PAGE</w:instrText>
            </w:r>
            <w:r w:rsidRPr="000E2AD0">
              <w:rPr>
                <w:b/>
                <w:bCs/>
                <w:sz w:val="18"/>
                <w:szCs w:val="18"/>
              </w:rPr>
              <w:fldChar w:fldCharType="separate"/>
            </w:r>
            <w:r w:rsidR="000A4FBD">
              <w:rPr>
                <w:b/>
                <w:bCs/>
                <w:noProof/>
                <w:sz w:val="18"/>
                <w:szCs w:val="18"/>
              </w:rPr>
              <w:t>5</w:t>
            </w:r>
            <w:r w:rsidRPr="000E2AD0">
              <w:rPr>
                <w:b/>
                <w:bCs/>
                <w:sz w:val="18"/>
                <w:szCs w:val="18"/>
              </w:rPr>
              <w:fldChar w:fldCharType="end"/>
            </w:r>
            <w:r w:rsidRPr="000E2AD0">
              <w:rPr>
                <w:sz w:val="18"/>
                <w:szCs w:val="18"/>
                <w:lang w:val="el-GR"/>
              </w:rPr>
              <w:t xml:space="preserve"> από </w:t>
            </w:r>
            <w:r w:rsidRPr="000E2AD0">
              <w:rPr>
                <w:b/>
                <w:bCs/>
                <w:sz w:val="18"/>
                <w:szCs w:val="18"/>
              </w:rPr>
              <w:fldChar w:fldCharType="begin"/>
            </w:r>
            <w:r w:rsidRPr="000E2AD0">
              <w:rPr>
                <w:b/>
                <w:bCs/>
                <w:sz w:val="18"/>
                <w:szCs w:val="18"/>
              </w:rPr>
              <w:instrText>NUMPAGES</w:instrText>
            </w:r>
            <w:r w:rsidRPr="000E2AD0">
              <w:rPr>
                <w:b/>
                <w:bCs/>
                <w:sz w:val="18"/>
                <w:szCs w:val="18"/>
              </w:rPr>
              <w:fldChar w:fldCharType="separate"/>
            </w:r>
            <w:r w:rsidR="000A4FBD">
              <w:rPr>
                <w:b/>
                <w:bCs/>
                <w:noProof/>
                <w:sz w:val="18"/>
                <w:szCs w:val="18"/>
              </w:rPr>
              <w:t>6</w:t>
            </w:r>
            <w:r w:rsidRPr="000E2AD0">
              <w:rPr>
                <w:b/>
                <w:bCs/>
                <w:sz w:val="18"/>
                <w:szCs w:val="18"/>
              </w:rPr>
              <w:fldChar w:fldCharType="end"/>
            </w:r>
          </w:p>
        </w:sdtContent>
      </w:sdt>
    </w:sdtContent>
  </w:sdt>
  <w:p w:rsidR="00DE3F52" w:rsidRDefault="00DE3F5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658" w:rsidRDefault="00F94658" w:rsidP="00F94658">
      <w:pPr>
        <w:spacing w:line="240" w:lineRule="auto"/>
      </w:pPr>
      <w:r>
        <w:separator/>
      </w:r>
    </w:p>
  </w:footnote>
  <w:footnote w:type="continuationSeparator" w:id="0">
    <w:p w:rsidR="00F94658" w:rsidRDefault="00F94658" w:rsidP="00F946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6"/>
      <w:gridCol w:w="1536"/>
    </w:tblGrid>
    <w:tr w:rsidR="00F94658" w:rsidRPr="00F94658" w:rsidTr="001F584D">
      <w:trPr>
        <w:trHeight w:val="987"/>
      </w:trPr>
      <w:tc>
        <w:tcPr>
          <w:tcW w:w="7185" w:type="dxa"/>
        </w:tcPr>
        <w:p w:rsidR="00F94658" w:rsidRPr="00C85BDB" w:rsidRDefault="00F94658" w:rsidP="00F94658">
          <w:pPr>
            <w:tabs>
              <w:tab w:val="center" w:pos="4153"/>
              <w:tab w:val="right" w:pos="8306"/>
            </w:tabs>
            <w:spacing w:line="240" w:lineRule="auto"/>
            <w:rPr>
              <w:u w:val="single"/>
            </w:rPr>
          </w:pPr>
        </w:p>
        <w:p w:rsidR="00F94658" w:rsidRPr="00C85BDB" w:rsidRDefault="00BD420A" w:rsidP="00C85BDB">
          <w:pPr>
            <w:spacing w:after="120"/>
            <w:ind w:left="284" w:hanging="284"/>
            <w:jc w:val="left"/>
            <w:rPr>
              <w:rFonts w:ascii="Verdana" w:hAnsi="Verdana"/>
              <w:iCs/>
              <w:sz w:val="19"/>
              <w:szCs w:val="19"/>
              <w:highlight w:val="yellow"/>
              <w:u w:val="single"/>
              <w:lang w:val="el-GR"/>
            </w:rPr>
          </w:pPr>
          <w:r>
            <w:rPr>
              <w:rFonts w:ascii="Verdana" w:hAnsi="Verdana"/>
              <w:b/>
              <w:sz w:val="19"/>
              <w:szCs w:val="19"/>
              <w:u w:val="single"/>
              <w:lang w:val="el-GR"/>
            </w:rPr>
            <w:t>ΠΑΡΑΡΤΗΜΑ</w:t>
          </w:r>
          <w:r w:rsidR="00F94658" w:rsidRPr="00C85BDB">
            <w:rPr>
              <w:rFonts w:ascii="Verdana" w:hAnsi="Verdana"/>
              <w:b/>
              <w:sz w:val="19"/>
              <w:szCs w:val="19"/>
              <w:u w:val="single"/>
              <w:lang w:val="el-GR"/>
            </w:rPr>
            <w:t xml:space="preserve"> Ι</w:t>
          </w:r>
          <w:r w:rsidR="00F94658" w:rsidRPr="00C85BDB">
            <w:rPr>
              <w:rFonts w:ascii="Verdana" w:hAnsi="Verdana"/>
              <w:b/>
              <w:sz w:val="19"/>
              <w:szCs w:val="19"/>
              <w:u w:val="single"/>
              <w:lang w:val="en-US"/>
            </w:rPr>
            <w:t>I</w:t>
          </w:r>
          <w:r>
            <w:rPr>
              <w:rFonts w:ascii="Verdana" w:hAnsi="Verdana"/>
              <w:b/>
              <w:sz w:val="19"/>
              <w:szCs w:val="19"/>
              <w:u w:val="single"/>
              <w:lang w:val="el-GR"/>
            </w:rPr>
            <w:t>.</w:t>
          </w:r>
          <w:r w:rsidR="0058460C">
            <w:rPr>
              <w:rFonts w:ascii="Verdana" w:hAnsi="Verdana"/>
              <w:b/>
              <w:sz w:val="19"/>
              <w:szCs w:val="19"/>
              <w:u w:val="single"/>
              <w:lang w:val="el-GR"/>
            </w:rPr>
            <w:t>3</w:t>
          </w:r>
          <w:r w:rsidR="00F94658" w:rsidRPr="00C85BDB">
            <w:rPr>
              <w:rFonts w:ascii="Verdana" w:hAnsi="Verdana"/>
              <w:b/>
              <w:sz w:val="19"/>
              <w:szCs w:val="19"/>
              <w:u w:val="single"/>
              <w:lang w:val="el-GR"/>
            </w:rPr>
            <w:t>_ ΟΡΙΣΜΟΣ ΜΜΕ</w:t>
          </w:r>
        </w:p>
      </w:tc>
      <w:tc>
        <w:tcPr>
          <w:tcW w:w="1536" w:type="dxa"/>
        </w:tcPr>
        <w:p w:rsidR="00F94658" w:rsidRPr="00F94658" w:rsidRDefault="00F94658" w:rsidP="00F94658">
          <w:pPr>
            <w:tabs>
              <w:tab w:val="center" w:pos="4153"/>
              <w:tab w:val="right" w:pos="8306"/>
            </w:tabs>
            <w:spacing w:line="240" w:lineRule="auto"/>
          </w:pPr>
          <w:r w:rsidRPr="00F94658">
            <w:rPr>
              <w:rFonts w:ascii="Verdana" w:hAnsi="Verdana"/>
              <w:b/>
              <w:noProof/>
              <w:szCs w:val="20"/>
              <w:lang w:val="el-GR" w:eastAsia="el-GR"/>
            </w:rPr>
            <w:drawing>
              <wp:inline distT="0" distB="0" distL="0" distR="0" wp14:anchorId="15581062" wp14:editId="6E79437C">
                <wp:extent cx="838200" cy="542925"/>
                <wp:effectExtent l="0" t="0" r="0" b="0"/>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42925"/>
                        </a:xfrm>
                        <a:prstGeom prst="rect">
                          <a:avLst/>
                        </a:prstGeom>
                        <a:noFill/>
                        <a:ln>
                          <a:noFill/>
                        </a:ln>
                      </pic:spPr>
                    </pic:pic>
                  </a:graphicData>
                </a:graphic>
              </wp:inline>
            </w:drawing>
          </w:r>
        </w:p>
      </w:tc>
    </w:tr>
  </w:tbl>
  <w:p w:rsidR="00F94658" w:rsidRDefault="00F9465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0E05E1"/>
    <w:multiLevelType w:val="hybridMultilevel"/>
    <w:tmpl w:val="A6163F00"/>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1"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1640"/>
    <w:rsid w:val="0004198A"/>
    <w:rsid w:val="000A4FBD"/>
    <w:rsid w:val="000E2AD0"/>
    <w:rsid w:val="00416512"/>
    <w:rsid w:val="005275E6"/>
    <w:rsid w:val="0058460C"/>
    <w:rsid w:val="005E51CB"/>
    <w:rsid w:val="00882277"/>
    <w:rsid w:val="00941640"/>
    <w:rsid w:val="00BD420A"/>
    <w:rsid w:val="00C85BDB"/>
    <w:rsid w:val="00CA37B2"/>
    <w:rsid w:val="00CA4C4D"/>
    <w:rsid w:val="00DE3F52"/>
    <w:rsid w:val="00E0503A"/>
    <w:rsid w:val="00F9465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69124"/>
  <w15:docId w15:val="{786C5C47-01F1-4DBD-976E-E937690BF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 w:type="paragraph" w:styleId="a3">
    <w:name w:val="header"/>
    <w:basedOn w:val="a"/>
    <w:link w:val="Char"/>
    <w:uiPriority w:val="99"/>
    <w:unhideWhenUsed/>
    <w:rsid w:val="00F94658"/>
    <w:pPr>
      <w:tabs>
        <w:tab w:val="center" w:pos="4153"/>
        <w:tab w:val="right" w:pos="8306"/>
      </w:tabs>
      <w:spacing w:line="240" w:lineRule="auto"/>
    </w:pPr>
  </w:style>
  <w:style w:type="character" w:customStyle="1" w:styleId="Char">
    <w:name w:val="Κεφαλίδα Char"/>
    <w:basedOn w:val="a0"/>
    <w:link w:val="a3"/>
    <w:uiPriority w:val="99"/>
    <w:rsid w:val="00F94658"/>
    <w:rPr>
      <w:rFonts w:ascii="Calibri" w:eastAsia="Times New Roman" w:hAnsi="Calibri" w:cs="Times New Roman"/>
      <w:sz w:val="20"/>
      <w:szCs w:val="24"/>
      <w:lang w:val="en-GB" w:eastAsia="ar-SA"/>
    </w:rPr>
  </w:style>
  <w:style w:type="paragraph" w:styleId="a4">
    <w:name w:val="footer"/>
    <w:basedOn w:val="a"/>
    <w:link w:val="Char0"/>
    <w:uiPriority w:val="99"/>
    <w:unhideWhenUsed/>
    <w:rsid w:val="00F94658"/>
    <w:pPr>
      <w:tabs>
        <w:tab w:val="center" w:pos="4153"/>
        <w:tab w:val="right" w:pos="8306"/>
      </w:tabs>
      <w:spacing w:line="240" w:lineRule="auto"/>
    </w:pPr>
  </w:style>
  <w:style w:type="character" w:customStyle="1" w:styleId="Char0">
    <w:name w:val="Υποσέλιδο Char"/>
    <w:basedOn w:val="a0"/>
    <w:link w:val="a4"/>
    <w:uiPriority w:val="99"/>
    <w:rsid w:val="00F94658"/>
    <w:rPr>
      <w:rFonts w:ascii="Calibri" w:eastAsia="Times New Roman" w:hAnsi="Calibri" w:cs="Times New Roman"/>
      <w:sz w:val="20"/>
      <w:szCs w:val="24"/>
      <w:lang w:val="en-GB" w:eastAsia="ar-SA"/>
    </w:rPr>
  </w:style>
  <w:style w:type="table" w:styleId="a5">
    <w:name w:val="Table Grid"/>
    <w:basedOn w:val="a1"/>
    <w:uiPriority w:val="59"/>
    <w:rsid w:val="00F94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0503A"/>
    <w:pPr>
      <w:ind w:left="720"/>
      <w:contextualSpacing/>
    </w:pPr>
  </w:style>
  <w:style w:type="paragraph" w:customStyle="1" w:styleId="Default">
    <w:name w:val="Default"/>
    <w:rsid w:val="005E51CB"/>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styleId="a7">
    <w:name w:val="Balloon Text"/>
    <w:basedOn w:val="a"/>
    <w:link w:val="Char1"/>
    <w:uiPriority w:val="99"/>
    <w:semiHidden/>
    <w:unhideWhenUsed/>
    <w:rsid w:val="00882277"/>
    <w:pPr>
      <w:spacing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882277"/>
    <w:rPr>
      <w:rFonts w:ascii="Segoe UI" w:eastAsia="Times New Roman" w:hAnsi="Segoe UI" w:cs="Segoe UI"/>
      <w:sz w:val="18"/>
      <w:szCs w:val="1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1704</Words>
  <Characters>9206</Characters>
  <Application>Microsoft Office Word</Application>
  <DocSecurity>0</DocSecurity>
  <Lines>76</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Δίκτυο Δήμων ΠΕ Νήσων Αττικής</cp:lastModifiedBy>
  <cp:revision>15</cp:revision>
  <dcterms:created xsi:type="dcterms:W3CDTF">2018-04-24T10:01:00Z</dcterms:created>
  <dcterms:modified xsi:type="dcterms:W3CDTF">2019-02-18T14:11:00Z</dcterms:modified>
</cp:coreProperties>
</file>