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56E" w:rsidRPr="009C671D" w:rsidRDefault="00C5756E" w:rsidP="00C5756E">
      <w:pPr>
        <w:pStyle w:val="1"/>
        <w:numPr>
          <w:ilvl w:val="0"/>
          <w:numId w:val="0"/>
        </w:numPr>
        <w:ind w:left="284" w:hanging="284"/>
        <w:rPr>
          <w:lang w:val="el-GR"/>
        </w:rPr>
      </w:pPr>
      <w:bookmarkStart w:id="0" w:name="_Ref451173053"/>
      <w:bookmarkStart w:id="1" w:name="_Ref451174576"/>
      <w:bookmarkStart w:id="2" w:name="_Ref451347598"/>
      <w:bookmarkStart w:id="3" w:name="_Toc459114997"/>
      <w:r w:rsidRPr="009C671D">
        <w:rPr>
          <w:lang w:val="el-GR"/>
        </w:rPr>
        <w:t xml:space="preserve">Ορισμός προβληματικών </w:t>
      </w:r>
      <w:bookmarkEnd w:id="0"/>
      <w:bookmarkEnd w:id="1"/>
      <w:r w:rsidRPr="009C671D">
        <w:rPr>
          <w:lang w:val="el-GR"/>
        </w:rPr>
        <w:t>επιχειρήσεων</w:t>
      </w:r>
      <w:bookmarkEnd w:id="2"/>
      <w:bookmarkEnd w:id="3"/>
      <w:r w:rsidRPr="009C671D">
        <w:rPr>
          <w:lang w:val="el-GR"/>
        </w:rPr>
        <w:t xml:space="preserve"> </w:t>
      </w:r>
    </w:p>
    <w:p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Α) Προβληματική επιχείρηση: η επιχείρηση για την οποία συντρέχει τουλάχιστον μία από τις ακόλουθες προϋποθέσεις:</w:t>
      </w:r>
    </w:p>
    <w:p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α) εάν πρόκειται για εταιρεία περιορισμένης ευθύνης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όταν έχει απολεσθεί πάνω από το ήμισυ του εγγεγραμμένου της κεφαλαίου λόγω συσσωρευμένων ζημιών. Αυτό ισχύει όταν από την αφαίρεση των συσσωρευμένων ζημιών από τα αποθεματικά (και όλα τα άλλα στοιχεία που θεωρούνται εν γένει ως μέρος των ιδίων κεφαλαίων της εταιρείας) προκύπτει αρνητικό σωρευτικό ποσό που υπερβαίνει το ήμισυ του εγγεγραμμένου κεφαλαίου. Για την εφαρμογή της παρούσας διάταξης, ο όρος «εταιρεία περιορισμένης ευθύνης» παραπέμπει ειδικότερα στα είδη εταιρειών που αναφέρονται στο παράρτημα I της οδηγίας 2013/34/ΕΕ του Ευρωπαϊκού Κοινοβουλίου και του Συμβουλίου (1) και ο όρος «κεφάλαιο» περιλαμβάνει, ενδεχομένως, και κάθε διαφορά από έκδοση υπέρ το άρτιο.</w:t>
      </w:r>
    </w:p>
    <w:p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β) εάν πρόκειται για εταιρεία στην οποία τουλάχιστον ορισμένα μέλη έχουν απεριόριστη ευθύνη για τα χρέη της εταιρείας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εφόσον έχει απολεσθεί πάνω από το ήμισυ του κεφαλαίου της, όπως εμφαίνεται στους λογαριασμούς της εταιρείας, λόγω συσσωρευμένων ζημιών. Για την εφαρμογή της παρούσας διάταξης, ο όρος «εταιρεία στην οποία τουλάχιστον ορισμένα μέλη έχουν απεριόριστη ευθύνη για τα χρέη της εταιρείας» παραπέμπει ειδικότερα στα είδη εταιρειών που αναφέρονται στο παράρτημα II της οδηγίας 2013/34/ΕΕ.</w:t>
      </w:r>
    </w:p>
    <w:p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γ) εάν πρόκειται για εταιρεία που υπάγεται σε συλλογική πτωχευτική διαδικασία ή πληροί τις προϋποθέσεις του εθνικού δικαίου που τη διέπει όσον αφορά την υπαγωγή της σε συλλογική πτωχευτική διαδικασία μετά από αίτημα των πιστωτών της.</w:t>
      </w:r>
    </w:p>
    <w:p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δ) εάν πρόκειται για επιχείρηση που έχει λάβει ενίσχυση διάσωσης και δεν έχει ακόμη αποπληρώσει το δάνειο ή λύσει τη σύμβαση εγγύησης ή που έχει λάβει ενίσχυση αναδιάρθρωσης και υπόκειται ακόμη σε σχέδιο αναδιάρθρωσης</w:t>
      </w:r>
    </w:p>
    <w:p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ε) εάν πρόκειται για άλλη επιχείρηση εκτός ΜΜΕ, εφόσον τα τελευταία δύο έτη:</w:t>
      </w:r>
    </w:p>
    <w:p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1) ο δείκτης χρέους προς ίδια κεφάλαια της επιχείρησης είναι υψηλότερος του 7,5 και</w:t>
      </w:r>
    </w:p>
    <w:p w:rsidR="00CC5916"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2) ο δείκτης κάλυψης χρηματοοικονομικών υποχρεώσεων της επιχείρησης (EBITDA interest coverage ratio) είναι κάτω του 1,0.</w:t>
      </w:r>
    </w:p>
    <w:p w:rsidR="00CC5916" w:rsidRPr="00180DEC" w:rsidRDefault="00CC5916" w:rsidP="00CC5916">
      <w:pPr>
        <w:spacing w:before="120" w:after="120" w:line="280" w:lineRule="atLeast"/>
        <w:rPr>
          <w:rFonts w:asciiTheme="minorHAnsi" w:hAnsiTheme="minorHAnsi" w:cstheme="minorHAnsi"/>
          <w:sz w:val="22"/>
          <w:lang w:val="el-GR"/>
        </w:rPr>
      </w:pPr>
      <w:r w:rsidRPr="006F402C">
        <w:rPr>
          <w:rFonts w:asciiTheme="minorHAnsi" w:hAnsiTheme="minorHAnsi" w:cstheme="minorHAnsi"/>
          <w:sz w:val="22"/>
          <w:lang w:val="el-GR"/>
        </w:rPr>
        <w:t>Η εξέταση μιας επιχείρησης για να διαπιστωθεί αν αυτή είναι προβληματική, γίνεται σε επίπ</w:t>
      </w:r>
      <w:bookmarkStart w:id="4" w:name="_GoBack"/>
      <w:bookmarkEnd w:id="4"/>
      <w:r w:rsidRPr="006F402C">
        <w:rPr>
          <w:rFonts w:asciiTheme="minorHAnsi" w:hAnsiTheme="minorHAnsi" w:cstheme="minorHAnsi"/>
          <w:sz w:val="22"/>
          <w:lang w:val="el-GR"/>
        </w:rPr>
        <w:t xml:space="preserve">εδο ενιαίας επιχείρησης (αιτούσα επιχείρηση και τυχόν συνδεδεμένες με αυτή </w:t>
      </w:r>
      <w:r w:rsidRPr="006F402C">
        <w:rPr>
          <w:rFonts w:asciiTheme="minorHAnsi" w:hAnsiTheme="minorHAnsi" w:cstheme="minorHAnsi"/>
          <w:sz w:val="22"/>
          <w:lang w:val="el-GR"/>
        </w:rPr>
        <w:lastRenderedPageBreak/>
        <w:t>επιχειρήσεις), ανεξάρτητα αν υφίσταται για αυτές υποχρέωση σύνταξης ενοποιημένων οικονομικών καταστάσεων)</w:t>
      </w:r>
    </w:p>
    <w:p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Β) Τα δικαιολογητικά που απαιτούνται προκειμένου να αξιολογηθεί εάν μία επιχείρηση είναι προβληματική σύμφωνα με τα οριζόμενα στο άρθρο 2 σημείο 18  του Καν. 651/2014 και πρέπει να προσκομισθούν ανάλογα με την ιδιότητα της επιχείρησης και τα έτη λειτουργίας της είναι τα ακόλουθα:</w:t>
      </w:r>
    </w:p>
    <w:p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1. Υφιστάμενη ΜΜΕ κάτω της τριετίας ατομικής μορφής:</w:t>
      </w:r>
    </w:p>
    <w:p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a. 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ΠτΚ, εφόσον ασκεί εμπορική δραστηριότητα, καθώς και ότι δεν έχει υποβληθεί κατά της επιχείρησης αίτημα για υπαγωγή στην πτωχευτική διαδικασία.</w:t>
      </w:r>
    </w:p>
    <w:p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2. Λοιπές υφιστάμενες επιχειρήσεις ατομικής μορφής ανεξαρτήτου χρόνου λειτουργίας με βιβλία Γ κατηγορίας:</w:t>
      </w:r>
    </w:p>
    <w:p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a.</w:t>
      </w:r>
      <w:r w:rsidRPr="00180DEC">
        <w:rPr>
          <w:rFonts w:asciiTheme="minorHAnsi" w:hAnsiTheme="minorHAnsi" w:cstheme="minorHAnsi"/>
          <w:sz w:val="22"/>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ΠτΚ, εφόσον ασκεί εμπορική δραστηριότητα, καθώς και ότι δεν έχει υποβληθεί κατά της επιχείρησης αίτημα για υπαγωγή στην πτωχευτική διαδικασία </w:t>
      </w:r>
    </w:p>
    <w:p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3. Λοιπές υφιστάμενες επιχειρήσεις ατομικής μορφής ανεξαρτήτου χρόνου λειτουργίας με βιβλία όχι Γ κατηγορίας:</w:t>
      </w:r>
    </w:p>
    <w:p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a.</w:t>
      </w:r>
      <w:r w:rsidRPr="00180DEC">
        <w:rPr>
          <w:rFonts w:asciiTheme="minorHAnsi" w:hAnsiTheme="minorHAnsi" w:cstheme="minorHAnsi"/>
          <w:sz w:val="22"/>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ΠτΚ, εφόσον ασκεί εμπορική δραστηριότητα, καθώς και ότι δεν έχει υποβληθεί κατά της επιχείρησης αίτημα για υπαγωγή στην πτωχευτική διαδικασία </w:t>
      </w:r>
    </w:p>
    <w:p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4. Υφιστάμενη ΜΜΕ κάτω της τριετίας άλλης νομικής μορφής πλην ατομικής:</w:t>
      </w:r>
    </w:p>
    <w:p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a.</w:t>
      </w:r>
      <w:r w:rsidRPr="00180DEC">
        <w:rPr>
          <w:rFonts w:asciiTheme="minorHAnsi" w:hAnsiTheme="minorHAnsi" w:cstheme="minorHAnsi"/>
          <w:sz w:val="22"/>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b.</w:t>
      </w:r>
      <w:r w:rsidRPr="00180DEC">
        <w:rPr>
          <w:rFonts w:asciiTheme="minorHAnsi" w:hAnsiTheme="minorHAnsi" w:cstheme="minorHAnsi"/>
          <w:sz w:val="22"/>
          <w:lang w:val="el-GR"/>
        </w:rPr>
        <w:tab/>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w:t>
      </w:r>
    </w:p>
    <w:p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lastRenderedPageBreak/>
        <w:t>c.</w:t>
      </w:r>
      <w:r w:rsidRPr="00180DEC">
        <w:rPr>
          <w:rFonts w:asciiTheme="minorHAnsi" w:hAnsiTheme="minorHAnsi" w:cstheme="minorHAnsi"/>
          <w:sz w:val="22"/>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w:t>
      </w:r>
    </w:p>
    <w:p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 xml:space="preserve">5. Λοιπές υφιστάμενες επιχειρήσεις άλλης νομικής μορφής πλην ατομικής ανεξαρτήτου χρόνου λειτουργίας με </w:t>
      </w:r>
      <w:r>
        <w:rPr>
          <w:rFonts w:asciiTheme="minorHAnsi" w:hAnsiTheme="minorHAnsi" w:cstheme="minorHAnsi"/>
          <w:sz w:val="22"/>
          <w:lang w:val="el-GR"/>
        </w:rPr>
        <w:t>περιορισμένη ευθύνη των μετόχων /εταίρων</w:t>
      </w:r>
      <w:r w:rsidRPr="00180DEC">
        <w:rPr>
          <w:rFonts w:asciiTheme="minorHAnsi" w:hAnsiTheme="minorHAnsi" w:cstheme="minorHAnsi"/>
          <w:sz w:val="22"/>
          <w:lang w:val="el-GR"/>
        </w:rPr>
        <w:t>:</w:t>
      </w:r>
    </w:p>
    <w:p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a.</w:t>
      </w:r>
      <w:r w:rsidRPr="00180DEC">
        <w:rPr>
          <w:rFonts w:asciiTheme="minorHAnsi" w:hAnsiTheme="minorHAnsi" w:cstheme="minorHAnsi"/>
          <w:sz w:val="22"/>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b.</w:t>
      </w:r>
      <w:r w:rsidRPr="00180DEC">
        <w:rPr>
          <w:rFonts w:asciiTheme="minorHAnsi" w:hAnsiTheme="minorHAnsi" w:cstheme="minorHAnsi"/>
          <w:sz w:val="22"/>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c.</w:t>
      </w:r>
      <w:r w:rsidRPr="00180DEC">
        <w:rPr>
          <w:rFonts w:asciiTheme="minorHAnsi" w:hAnsiTheme="minorHAnsi" w:cstheme="minorHAnsi"/>
          <w:sz w:val="22"/>
          <w:lang w:val="el-GR"/>
        </w:rPr>
        <w:tab/>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w:t>
      </w:r>
      <w:r>
        <w:rPr>
          <w:rFonts w:asciiTheme="minorHAnsi" w:hAnsiTheme="minorHAnsi" w:cstheme="minorHAnsi"/>
          <w:sz w:val="22"/>
          <w:lang w:val="el-GR"/>
        </w:rPr>
        <w:t xml:space="preserve"> </w:t>
      </w:r>
      <w:r w:rsidR="005624DA">
        <w:rPr>
          <w:rFonts w:asciiTheme="minorHAnsi" w:hAnsiTheme="minorHAnsi" w:cstheme="minorHAnsi"/>
          <w:sz w:val="22"/>
          <w:lang w:val="el-GR"/>
        </w:rPr>
        <w:t xml:space="preserve">ια </w:t>
      </w:r>
      <w:r w:rsidRPr="00180DEC">
        <w:rPr>
          <w:rFonts w:asciiTheme="minorHAnsi" w:hAnsiTheme="minorHAnsi" w:cstheme="minorHAnsi"/>
          <w:sz w:val="22"/>
          <w:lang w:val="el-GR"/>
        </w:rPr>
        <w:t xml:space="preserve">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 </w:t>
      </w:r>
    </w:p>
    <w:p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d.</w:t>
      </w:r>
      <w:r w:rsidRPr="00180DEC">
        <w:rPr>
          <w:rFonts w:asciiTheme="minorHAnsi" w:hAnsiTheme="minorHAnsi" w:cstheme="minorHAnsi"/>
          <w:sz w:val="22"/>
          <w:lang w:val="el-GR"/>
        </w:rPr>
        <w:tab/>
      </w:r>
      <w:r w:rsidRPr="006F402C">
        <w:rPr>
          <w:rFonts w:asciiTheme="minorHAnsi" w:hAnsiTheme="minorHAnsi" w:cstheme="minorHAnsi"/>
          <w:sz w:val="22"/>
          <w:lang w:val="el-GR"/>
        </w:rPr>
        <w:t>Για τον έλεγχο του εδαφίου (α) ή (β)  του ως άνω σημείου ισολογισμούς ισολογισμό τελευταίων τριών</w:t>
      </w:r>
      <w:r>
        <w:rPr>
          <w:rFonts w:asciiTheme="minorHAnsi" w:hAnsiTheme="minorHAnsi" w:cstheme="minorHAnsi"/>
          <w:sz w:val="22"/>
          <w:lang w:val="el-GR"/>
        </w:rPr>
        <w:t xml:space="preserve"> </w:t>
      </w:r>
      <w:r w:rsidRPr="006F402C">
        <w:rPr>
          <w:rFonts w:asciiTheme="minorHAnsi" w:hAnsiTheme="minorHAnsi" w:cstheme="minorHAnsi"/>
          <w:sz w:val="22"/>
          <w:lang w:val="el-GR"/>
        </w:rPr>
        <w:t>της τελευταίας διαχειριστικής</w:t>
      </w:r>
      <w:r>
        <w:rPr>
          <w:rFonts w:asciiTheme="minorHAnsi" w:hAnsiTheme="minorHAnsi" w:cstheme="minorHAnsi"/>
          <w:sz w:val="22"/>
          <w:lang w:val="el-GR"/>
        </w:rPr>
        <w:t>/</w:t>
      </w:r>
      <w:r w:rsidRPr="006F402C">
        <w:rPr>
          <w:rFonts w:asciiTheme="minorHAnsi" w:hAnsiTheme="minorHAnsi" w:cstheme="minorHAnsi"/>
          <w:sz w:val="22"/>
          <w:lang w:val="el-GR"/>
        </w:rPr>
        <w:t>ών</w:t>
      </w:r>
      <w:r w:rsidRPr="00B4407A">
        <w:rPr>
          <w:rFonts w:asciiTheme="minorHAnsi" w:hAnsiTheme="minorHAnsi" w:cstheme="minorHAnsi"/>
          <w:sz w:val="22"/>
          <w:lang w:val="el-GR"/>
        </w:rPr>
        <w:t xml:space="preserve"> </w:t>
      </w:r>
      <w:r w:rsidRPr="006F402C">
        <w:rPr>
          <w:rFonts w:asciiTheme="minorHAnsi" w:hAnsiTheme="minorHAnsi" w:cstheme="minorHAnsi"/>
          <w:sz w:val="22"/>
          <w:lang w:val="el-GR"/>
        </w:rPr>
        <w:t xml:space="preserve"> χρήσης</w:t>
      </w:r>
      <w:r>
        <w:rPr>
          <w:rFonts w:asciiTheme="minorHAnsi" w:hAnsiTheme="minorHAnsi" w:cstheme="minorHAnsi"/>
          <w:sz w:val="22"/>
          <w:lang w:val="el-GR"/>
        </w:rPr>
        <w:t>/</w:t>
      </w:r>
      <w:r w:rsidRPr="006F402C">
        <w:rPr>
          <w:rFonts w:asciiTheme="minorHAnsi" w:hAnsiTheme="minorHAnsi" w:cstheme="minorHAnsi"/>
          <w:sz w:val="22"/>
          <w:lang w:val="el-GR"/>
        </w:rPr>
        <w:t>εων ή όσων εξ αυτών υπάρχουν. Από τα εν λόγω στοιχεία θα λαμβάνεται σαν Εγγεγραμμένο Κεφάλαιο το Σύνολο των Ιδίων Κεφαλαίων Ισολογισμού</w:t>
      </w:r>
      <w:r w:rsidRPr="00B4407A">
        <w:rPr>
          <w:rFonts w:asciiTheme="minorHAnsi" w:hAnsiTheme="minorHAnsi" w:cstheme="minorHAnsi"/>
          <w:sz w:val="22"/>
          <w:lang w:val="el-GR"/>
        </w:rPr>
        <w:t xml:space="preserve"> </w:t>
      </w:r>
      <w:r w:rsidRPr="006F402C">
        <w:rPr>
          <w:rFonts w:asciiTheme="minorHAnsi" w:hAnsiTheme="minorHAnsi" w:cstheme="minorHAnsi"/>
          <w:sz w:val="22"/>
          <w:lang w:val="el-GR"/>
        </w:rPr>
        <w:t>(ομάδα λογ/σμών 4),  προς  το μετοχικό κεφάλαιο (λογ/σμοί 40 και 41)και σαν Απώλειες οι Ζημίες βάση Κ.Α.Χ. (Ίδια κεφάλαια  / Μετοχικό κεφάλαιο    ≥  0,5).</w:t>
      </w:r>
    </w:p>
    <w:p w:rsidR="00CC5916" w:rsidRPr="00180DEC" w:rsidRDefault="00CC5916" w:rsidP="00CC5916">
      <w:pPr>
        <w:spacing w:before="120" w:after="120" w:line="280" w:lineRule="atLeast"/>
        <w:rPr>
          <w:rFonts w:asciiTheme="minorHAnsi" w:hAnsiTheme="minorHAnsi" w:cstheme="minorHAnsi"/>
          <w:sz w:val="22"/>
          <w:lang w:val="el-GR"/>
        </w:rPr>
      </w:pPr>
      <w:r w:rsidRPr="00180DEC">
        <w:rPr>
          <w:rFonts w:asciiTheme="minorHAnsi" w:hAnsiTheme="minorHAnsi" w:cstheme="minorHAnsi"/>
          <w:sz w:val="22"/>
          <w:lang w:val="el-GR"/>
        </w:rPr>
        <w:t xml:space="preserve">6. Λοιπές υφιστάμενες επιχειρήσεις άλλης νομικής μορφής πλην ατομικής ανεξαρτήτου χρόνου λειτουργίας </w:t>
      </w:r>
      <w:r>
        <w:rPr>
          <w:rFonts w:asciiTheme="minorHAnsi" w:hAnsiTheme="minorHAnsi" w:cstheme="minorHAnsi"/>
          <w:sz w:val="22"/>
          <w:lang w:val="el-GR"/>
        </w:rPr>
        <w:t>απεριόριστη ευθύνη των μετόχων / εταίρων</w:t>
      </w:r>
      <w:r w:rsidRPr="00180DEC">
        <w:rPr>
          <w:rFonts w:asciiTheme="minorHAnsi" w:hAnsiTheme="minorHAnsi" w:cstheme="minorHAnsi"/>
          <w:sz w:val="22"/>
          <w:lang w:val="el-GR"/>
        </w:rPr>
        <w:t>:</w:t>
      </w:r>
    </w:p>
    <w:p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a.</w:t>
      </w:r>
      <w:r w:rsidRPr="00180DEC">
        <w:rPr>
          <w:rFonts w:asciiTheme="minorHAnsi" w:hAnsiTheme="minorHAnsi" w:cstheme="minorHAnsi"/>
          <w:sz w:val="22"/>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b.</w:t>
      </w:r>
      <w:r w:rsidRPr="00180DEC">
        <w:rPr>
          <w:rFonts w:asciiTheme="minorHAnsi" w:hAnsiTheme="minorHAnsi" w:cstheme="minorHAnsi"/>
          <w:sz w:val="22"/>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rsidR="00CC5916" w:rsidRPr="00180DEC"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c.</w:t>
      </w:r>
      <w:r w:rsidRPr="00180DEC">
        <w:rPr>
          <w:rFonts w:asciiTheme="minorHAnsi" w:hAnsiTheme="minorHAnsi" w:cstheme="minorHAnsi"/>
          <w:sz w:val="22"/>
          <w:lang w:val="el-GR"/>
        </w:rPr>
        <w:tab/>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w:t>
      </w:r>
      <w:r>
        <w:rPr>
          <w:rFonts w:asciiTheme="minorHAnsi" w:hAnsiTheme="minorHAnsi" w:cstheme="minorHAnsi"/>
          <w:sz w:val="22"/>
          <w:lang w:val="el-GR"/>
        </w:rPr>
        <w:t xml:space="preserve"> </w:t>
      </w:r>
      <w:r w:rsidR="005624DA">
        <w:rPr>
          <w:rFonts w:asciiTheme="minorHAnsi" w:hAnsiTheme="minorHAnsi" w:cstheme="minorHAnsi"/>
          <w:sz w:val="22"/>
          <w:lang w:val="el-GR"/>
        </w:rPr>
        <w:t xml:space="preserve">ια </w:t>
      </w:r>
      <w:r w:rsidRPr="00180DEC">
        <w:rPr>
          <w:rFonts w:asciiTheme="minorHAnsi" w:hAnsiTheme="minorHAnsi" w:cstheme="minorHAnsi"/>
          <w:sz w:val="22"/>
          <w:lang w:val="el-GR"/>
        </w:rPr>
        <w:t xml:space="preserve">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 </w:t>
      </w:r>
    </w:p>
    <w:p w:rsidR="00CC5916" w:rsidRDefault="00CC5916" w:rsidP="00CC5916">
      <w:pPr>
        <w:spacing w:before="120" w:after="120" w:line="280" w:lineRule="atLeast"/>
        <w:ind w:left="426" w:hanging="284"/>
        <w:rPr>
          <w:rFonts w:asciiTheme="minorHAnsi" w:hAnsiTheme="minorHAnsi" w:cstheme="minorHAnsi"/>
          <w:sz w:val="22"/>
          <w:lang w:val="el-GR"/>
        </w:rPr>
      </w:pPr>
      <w:r w:rsidRPr="00180DEC">
        <w:rPr>
          <w:rFonts w:asciiTheme="minorHAnsi" w:hAnsiTheme="minorHAnsi" w:cstheme="minorHAnsi"/>
          <w:sz w:val="22"/>
          <w:lang w:val="el-GR"/>
        </w:rPr>
        <w:t>d.</w:t>
      </w:r>
      <w:r w:rsidRPr="00180DEC">
        <w:rPr>
          <w:rFonts w:asciiTheme="minorHAnsi" w:hAnsiTheme="minorHAnsi" w:cstheme="minorHAnsi"/>
          <w:sz w:val="22"/>
          <w:lang w:val="el-GR"/>
        </w:rPr>
        <w:tab/>
        <w:t>Για τ</w:t>
      </w:r>
      <w:r w:rsidR="00965B07">
        <w:rPr>
          <w:rFonts w:asciiTheme="minorHAnsi" w:hAnsiTheme="minorHAnsi" w:cstheme="minorHAnsi"/>
          <w:sz w:val="22"/>
          <w:lang w:val="el-GR"/>
        </w:rPr>
        <w:t>ον έλεγχο του εδαφίου (α) ή (β)</w:t>
      </w:r>
      <w:r w:rsidRPr="00180DEC">
        <w:rPr>
          <w:rFonts w:asciiTheme="minorHAnsi" w:hAnsiTheme="minorHAnsi" w:cstheme="minorHAnsi"/>
          <w:sz w:val="22"/>
          <w:lang w:val="el-GR"/>
        </w:rPr>
        <w:t xml:space="preserve"> του ως άνω σημείου το πιο πρόσφατο κωδικοποιημένο καταστατ</w:t>
      </w:r>
      <w:r w:rsidR="00965B07">
        <w:rPr>
          <w:rFonts w:asciiTheme="minorHAnsi" w:hAnsiTheme="minorHAnsi" w:cstheme="minorHAnsi"/>
          <w:sz w:val="22"/>
          <w:lang w:val="el-GR"/>
        </w:rPr>
        <w:t>ικό και οι τυχόν μεταγενέστερες</w:t>
      </w:r>
      <w:r w:rsidRPr="00180DEC">
        <w:rPr>
          <w:rFonts w:asciiTheme="minorHAnsi" w:hAnsiTheme="minorHAnsi" w:cstheme="minorHAnsi"/>
          <w:sz w:val="22"/>
          <w:lang w:val="el-GR"/>
        </w:rPr>
        <w:t xml:space="preserve"> τροποποιήσεις α</w:t>
      </w:r>
      <w:r w:rsidR="00965B07">
        <w:rPr>
          <w:rFonts w:asciiTheme="minorHAnsi" w:hAnsiTheme="minorHAnsi" w:cstheme="minorHAnsi"/>
          <w:sz w:val="22"/>
          <w:lang w:val="el-GR"/>
        </w:rPr>
        <w:t>υτού, μαζί με τα αντίστοιχα ΦΕΚ</w:t>
      </w:r>
      <w:r w:rsidRPr="00180DEC">
        <w:rPr>
          <w:rFonts w:asciiTheme="minorHAnsi" w:hAnsiTheme="minorHAnsi" w:cstheme="minorHAnsi"/>
          <w:sz w:val="22"/>
          <w:lang w:val="el-GR"/>
        </w:rPr>
        <w:t xml:space="preserve"> δημοσίε</w:t>
      </w:r>
      <w:r w:rsidR="00965B07">
        <w:rPr>
          <w:rFonts w:asciiTheme="minorHAnsi" w:hAnsiTheme="minorHAnsi" w:cstheme="minorHAnsi"/>
          <w:sz w:val="22"/>
          <w:lang w:val="el-GR"/>
        </w:rPr>
        <w:t>υσης όπου αυτή προβλέπεται</w:t>
      </w:r>
      <w:r w:rsidRPr="00180DEC">
        <w:rPr>
          <w:rFonts w:asciiTheme="minorHAnsi" w:hAnsiTheme="minorHAnsi" w:cstheme="minorHAnsi"/>
          <w:sz w:val="22"/>
          <w:lang w:val="el-GR"/>
        </w:rPr>
        <w:t xml:space="preserve"> και Δηλώσεις Φορολογίας Εισοδήματος Ε3 των τριών  τελευταίων κλεισμένων διαχειριστικών χρήσεων  ή όσων εξ αυτών υπάρχουν.</w:t>
      </w:r>
    </w:p>
    <w:p w:rsidR="00CC5916" w:rsidRPr="00180DEC" w:rsidRDefault="00CC5916" w:rsidP="00CC5916">
      <w:pPr>
        <w:spacing w:before="120" w:after="120" w:line="280" w:lineRule="atLeast"/>
        <w:ind w:left="426" w:hanging="284"/>
        <w:rPr>
          <w:rFonts w:asciiTheme="minorHAnsi" w:hAnsiTheme="minorHAnsi" w:cstheme="minorHAnsi"/>
          <w:sz w:val="22"/>
          <w:lang w:val="el-GR"/>
        </w:rPr>
      </w:pPr>
    </w:p>
    <w:p w:rsidR="00CC5916" w:rsidRDefault="00CC5916" w:rsidP="00CC5916">
      <w:pPr>
        <w:spacing w:line="240" w:lineRule="auto"/>
        <w:rPr>
          <w:lang w:val="el-GR"/>
        </w:rPr>
      </w:pPr>
      <w:r w:rsidRPr="00180DEC">
        <w:rPr>
          <w:rFonts w:asciiTheme="minorHAnsi" w:hAnsiTheme="minorHAnsi" w:cstheme="minorHAnsi"/>
          <w:sz w:val="22"/>
          <w:lang w:val="el-GR"/>
        </w:rPr>
        <w:t>7. Το σύνολο των επιχειρήσεων θα δηλώνουν υπευθύνως ότι: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r w:rsidRPr="006F402C">
        <w:rPr>
          <w:lang w:val="el-GR"/>
        </w:rPr>
        <w:t xml:space="preserve"> </w:t>
      </w:r>
    </w:p>
    <w:p w:rsidR="00CC5916" w:rsidRDefault="00CC5916" w:rsidP="00CC5916">
      <w:pPr>
        <w:spacing w:line="240" w:lineRule="auto"/>
        <w:rPr>
          <w:lang w:val="el-GR"/>
        </w:rPr>
      </w:pPr>
    </w:p>
    <w:p w:rsidR="00CC5916" w:rsidRDefault="00CC5916" w:rsidP="00CC5916">
      <w:pPr>
        <w:spacing w:line="276" w:lineRule="auto"/>
        <w:rPr>
          <w:rFonts w:asciiTheme="minorHAnsi" w:hAnsiTheme="minorHAnsi" w:cstheme="minorHAnsi"/>
          <w:sz w:val="22"/>
          <w:lang w:val="el-GR"/>
        </w:rPr>
      </w:pPr>
      <w:r w:rsidRPr="006F402C">
        <w:rPr>
          <w:rFonts w:asciiTheme="minorHAnsi" w:hAnsiTheme="minorHAnsi" w:cstheme="minorHAnsi"/>
          <w:sz w:val="22"/>
          <w:lang w:val="el-GR"/>
        </w:rPr>
        <w:t>Τα στοιχεία των λογαριασμών που αναφέρονται, παρουσιάζονται σύμφωνα με το Ν.4308/2014 (Ελληνικά λογιστικά Πρότυπα - ΕΛΠ)</w:t>
      </w:r>
    </w:p>
    <w:p w:rsidR="00CC5916" w:rsidRDefault="00CC5916" w:rsidP="00CC5916">
      <w:pPr>
        <w:spacing w:line="276" w:lineRule="auto"/>
        <w:rPr>
          <w:rFonts w:asciiTheme="minorHAnsi" w:hAnsiTheme="minorHAnsi" w:cstheme="minorHAnsi"/>
          <w:sz w:val="22"/>
          <w:lang w:val="el-GR"/>
        </w:rPr>
      </w:pPr>
    </w:p>
    <w:p w:rsidR="00CA4C4D" w:rsidRPr="00C5756E" w:rsidRDefault="00CA4C4D">
      <w:pPr>
        <w:rPr>
          <w:lang w:val="el-GR"/>
        </w:rPr>
      </w:pPr>
    </w:p>
    <w:sectPr w:rsidR="00CA4C4D" w:rsidRPr="00C5756E" w:rsidSect="000C2C3C">
      <w:headerReference w:type="default" r:id="rId7"/>
      <w:footerReference w:type="default" r:id="rId8"/>
      <w:pgSz w:w="11906" w:h="16838"/>
      <w:pgMar w:top="1440" w:right="1800" w:bottom="1440" w:left="1800"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307" w:rsidRDefault="00B23307" w:rsidP="00B23307">
      <w:pPr>
        <w:spacing w:line="240" w:lineRule="auto"/>
      </w:pPr>
      <w:r>
        <w:separator/>
      </w:r>
    </w:p>
  </w:endnote>
  <w:endnote w:type="continuationSeparator" w:id="0">
    <w:p w:rsidR="00B23307" w:rsidRDefault="00B23307" w:rsidP="00B233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BBE" w:rsidRDefault="00B83BBE">
    <w:pPr>
      <w:pStyle w:val="a7"/>
      <w:jc w:val="right"/>
    </w:pP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5F269C" w:rsidRPr="005F269C" w:rsidTr="00986C91">
      <w:trPr>
        <w:trHeight w:val="1247"/>
        <w:jc w:val="center"/>
      </w:trPr>
      <w:tc>
        <w:tcPr>
          <w:tcW w:w="2410" w:type="dxa"/>
          <w:vAlign w:val="center"/>
          <w:hideMark/>
        </w:tcPr>
        <w:p w:rsidR="005F269C" w:rsidRPr="005F269C" w:rsidRDefault="005F269C" w:rsidP="005F269C">
          <w:pPr>
            <w:pStyle w:val="a7"/>
            <w:rPr>
              <w:lang w:val="el-GR"/>
            </w:rPr>
          </w:pPr>
          <w:r w:rsidRPr="005F269C">
            <w:rPr>
              <w:lang w:val="el-GR"/>
            </w:rPr>
            <w:drawing>
              <wp:inline distT="0" distB="0" distL="0" distR="0" wp14:anchorId="31B2CDA0" wp14:editId="338744F3">
                <wp:extent cx="1189355" cy="549910"/>
                <wp:effectExtent l="0" t="0" r="0" b="2540"/>
                <wp:docPr id="6"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2547" w:type="dxa"/>
          <w:vAlign w:val="center"/>
          <w:hideMark/>
        </w:tcPr>
        <w:p w:rsidR="005F269C" w:rsidRPr="005F269C" w:rsidRDefault="005F269C" w:rsidP="005F269C">
          <w:pPr>
            <w:pStyle w:val="a7"/>
            <w:rPr>
              <w:lang w:val="el-GR"/>
            </w:rPr>
          </w:pPr>
          <w:r w:rsidRPr="005F269C">
            <w:rPr>
              <w:lang w:val="el-GR"/>
            </w:rPr>
            <w:drawing>
              <wp:inline distT="0" distB="0" distL="0" distR="0" wp14:anchorId="676CDF3D" wp14:editId="56BD1381">
                <wp:extent cx="1189355" cy="549910"/>
                <wp:effectExtent l="0" t="0" r="0" b="2540"/>
                <wp:docPr id="7"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1566" w:type="dxa"/>
          <w:vAlign w:val="center"/>
          <w:hideMark/>
        </w:tcPr>
        <w:p w:rsidR="005F269C" w:rsidRPr="005F269C" w:rsidRDefault="005F269C" w:rsidP="005F269C">
          <w:pPr>
            <w:pStyle w:val="a7"/>
            <w:rPr>
              <w:lang w:val="el-GR"/>
            </w:rPr>
          </w:pPr>
          <w:r w:rsidRPr="005F269C">
            <w:rPr>
              <w:lang w:val="el-GR"/>
            </w:rPr>
            <w:drawing>
              <wp:inline distT="0" distB="0" distL="0" distR="0" wp14:anchorId="2EA22EBB" wp14:editId="1EE780DF">
                <wp:extent cx="549910" cy="549910"/>
                <wp:effectExtent l="0" t="0" r="2540" b="2540"/>
                <wp:docPr id="8"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9910" cy="549910"/>
                        </a:xfrm>
                        <a:prstGeom prst="rect">
                          <a:avLst/>
                        </a:prstGeom>
                        <a:noFill/>
                        <a:ln>
                          <a:noFill/>
                        </a:ln>
                      </pic:spPr>
                    </pic:pic>
                  </a:graphicData>
                </a:graphic>
              </wp:inline>
            </w:drawing>
          </w:r>
        </w:p>
      </w:tc>
      <w:tc>
        <w:tcPr>
          <w:tcW w:w="1977" w:type="dxa"/>
          <w:vAlign w:val="center"/>
          <w:hideMark/>
        </w:tcPr>
        <w:p w:rsidR="005F269C" w:rsidRPr="005F269C" w:rsidRDefault="005F269C" w:rsidP="005F269C">
          <w:pPr>
            <w:pStyle w:val="a7"/>
            <w:rPr>
              <w:lang w:val="el-GR"/>
            </w:rPr>
          </w:pPr>
          <w:r w:rsidRPr="005F269C">
            <w:rPr>
              <w:lang w:val="el-GR"/>
            </w:rPr>
            <w:drawing>
              <wp:inline distT="0" distB="0" distL="0" distR="0" wp14:anchorId="3247A2AF" wp14:editId="0138EBD8">
                <wp:extent cx="549910" cy="639445"/>
                <wp:effectExtent l="0" t="0" r="2540" b="8255"/>
                <wp:docPr id="9"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H="1">
                          <a:off x="0" y="0"/>
                          <a:ext cx="549910" cy="639445"/>
                        </a:xfrm>
                        <a:prstGeom prst="rect">
                          <a:avLst/>
                        </a:prstGeom>
                        <a:noFill/>
                        <a:ln>
                          <a:noFill/>
                        </a:ln>
                      </pic:spPr>
                    </pic:pic>
                  </a:graphicData>
                </a:graphic>
              </wp:inline>
            </w:drawing>
          </w:r>
        </w:p>
      </w:tc>
      <w:tc>
        <w:tcPr>
          <w:tcW w:w="1839" w:type="dxa"/>
          <w:vAlign w:val="center"/>
          <w:hideMark/>
        </w:tcPr>
        <w:p w:rsidR="005F269C" w:rsidRPr="005F269C" w:rsidRDefault="005F269C" w:rsidP="005F269C">
          <w:pPr>
            <w:pStyle w:val="a7"/>
            <w:rPr>
              <w:lang w:val="el-GR"/>
            </w:rPr>
          </w:pPr>
          <w:r w:rsidRPr="005F269C">
            <w:rPr>
              <w:lang w:val="el-GR"/>
            </w:rPr>
            <w:drawing>
              <wp:inline distT="0" distB="0" distL="0" distR="0" wp14:anchorId="7FBC6FE4" wp14:editId="7B1D8765">
                <wp:extent cx="914400" cy="549910"/>
                <wp:effectExtent l="0" t="0" r="0" b="2540"/>
                <wp:docPr id="10"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549910"/>
                        </a:xfrm>
                        <a:prstGeom prst="rect">
                          <a:avLst/>
                        </a:prstGeom>
                        <a:noFill/>
                        <a:ln>
                          <a:noFill/>
                        </a:ln>
                      </pic:spPr>
                    </pic:pic>
                  </a:graphicData>
                </a:graphic>
              </wp:inline>
            </w:drawing>
          </w:r>
        </w:p>
      </w:tc>
    </w:tr>
  </w:tbl>
  <w:sdt>
    <w:sdtPr>
      <w:id w:val="1643616643"/>
      <w:docPartObj>
        <w:docPartGallery w:val="Page Numbers (Bottom of Page)"/>
        <w:docPartUnique/>
      </w:docPartObj>
    </w:sdtPr>
    <w:sdtContent>
      <w:sdt>
        <w:sdtPr>
          <w:id w:val="-1769616900"/>
          <w:docPartObj>
            <w:docPartGallery w:val="Page Numbers (Top of Page)"/>
            <w:docPartUnique/>
          </w:docPartObj>
        </w:sdtPr>
        <w:sdtContent>
          <w:p w:rsidR="005F269C" w:rsidRDefault="005F269C" w:rsidP="005F269C">
            <w:pPr>
              <w:pStyle w:val="a7"/>
              <w:jc w:val="right"/>
            </w:pPr>
            <w:r>
              <w:rPr>
                <w:lang w:val="el-GR"/>
              </w:rPr>
              <w:t xml:space="preserve">Σελίδα </w:t>
            </w:r>
            <w:r>
              <w:rPr>
                <w:b/>
                <w:bCs/>
                <w:sz w:val="24"/>
              </w:rPr>
              <w:fldChar w:fldCharType="begin"/>
            </w:r>
            <w:r>
              <w:rPr>
                <w:b/>
                <w:bCs/>
              </w:rPr>
              <w:instrText>PAGE</w:instrText>
            </w:r>
            <w:r>
              <w:rPr>
                <w:b/>
                <w:bCs/>
                <w:sz w:val="24"/>
              </w:rPr>
              <w:fldChar w:fldCharType="separate"/>
            </w:r>
            <w:r>
              <w:rPr>
                <w:b/>
                <w:bCs/>
                <w:noProof/>
              </w:rPr>
              <w:t>1</w:t>
            </w:r>
            <w:r>
              <w:rPr>
                <w:b/>
                <w:bCs/>
                <w:sz w:val="24"/>
              </w:rPr>
              <w:fldChar w:fldCharType="end"/>
            </w:r>
            <w:r>
              <w:rPr>
                <w:lang w:val="el-GR"/>
              </w:rPr>
              <w:t xml:space="preserve"> </w:t>
            </w:r>
            <w:r w:rsidRPr="005F269C">
              <w:rPr>
                <w:sz w:val="18"/>
                <w:szCs w:val="18"/>
                <w:lang w:val="el-GR"/>
              </w:rPr>
              <w:t>από</w:t>
            </w:r>
            <w:r>
              <w:rPr>
                <w:lang w:val="el-GR"/>
              </w:rPr>
              <w:t xml:space="preserve"> </w:t>
            </w:r>
            <w:r>
              <w:rPr>
                <w:b/>
                <w:bCs/>
                <w:sz w:val="24"/>
              </w:rPr>
              <w:fldChar w:fldCharType="begin"/>
            </w:r>
            <w:r>
              <w:rPr>
                <w:b/>
                <w:bCs/>
              </w:rPr>
              <w:instrText>NUMPAGES</w:instrText>
            </w:r>
            <w:r>
              <w:rPr>
                <w:b/>
                <w:bCs/>
                <w:sz w:val="24"/>
              </w:rPr>
              <w:fldChar w:fldCharType="separate"/>
            </w:r>
            <w:r>
              <w:rPr>
                <w:b/>
                <w:bCs/>
                <w:noProof/>
              </w:rPr>
              <w:t>4</w:t>
            </w:r>
            <w:r>
              <w:rPr>
                <w:b/>
                <w:bCs/>
                <w:sz w:val="24"/>
              </w:rPr>
              <w:fldChar w:fldCharType="end"/>
            </w:r>
          </w:p>
        </w:sdtContent>
      </w:sdt>
    </w:sdtContent>
  </w:sdt>
  <w:p w:rsidR="00B23307" w:rsidRDefault="00B2330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307" w:rsidRDefault="00B23307" w:rsidP="00B23307">
      <w:pPr>
        <w:spacing w:line="240" w:lineRule="auto"/>
      </w:pPr>
      <w:r>
        <w:separator/>
      </w:r>
    </w:p>
  </w:footnote>
  <w:footnote w:type="continuationSeparator" w:id="0">
    <w:p w:rsidR="00B23307" w:rsidRDefault="00B23307" w:rsidP="00B233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307" w:rsidRDefault="00B23307">
    <w:pPr>
      <w:pStyle w:val="a6"/>
      <w:rPr>
        <w:lang w:val="el-GR"/>
      </w:rPr>
    </w:pPr>
  </w:p>
  <w:tbl>
    <w:tblPr>
      <w:tblStyle w:val="a8"/>
      <w:tblW w:w="1036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8"/>
      <w:gridCol w:w="2329"/>
    </w:tblGrid>
    <w:tr w:rsidR="00303799" w:rsidTr="00303799">
      <w:trPr>
        <w:trHeight w:val="572"/>
        <w:jc w:val="center"/>
      </w:trPr>
      <w:tc>
        <w:tcPr>
          <w:tcW w:w="8038" w:type="dxa"/>
          <w:vAlign w:val="center"/>
        </w:tcPr>
        <w:p w:rsidR="00303799" w:rsidRPr="00303799" w:rsidRDefault="00303799" w:rsidP="00303799">
          <w:pPr>
            <w:pStyle w:val="a6"/>
            <w:jc w:val="left"/>
            <w:rPr>
              <w:rFonts w:ascii="Verdana" w:hAnsi="Verdana"/>
              <w:b/>
              <w:u w:val="single"/>
              <w:lang w:val="el-GR"/>
            </w:rPr>
          </w:pPr>
          <w:r>
            <w:rPr>
              <w:rFonts w:ascii="Verdana" w:hAnsi="Verdana"/>
              <w:b/>
              <w:u w:val="single"/>
              <w:lang w:val="el-GR"/>
            </w:rPr>
            <w:t xml:space="preserve">ΠΑΡΑΡΤΗΜΑ </w:t>
          </w:r>
          <w:r w:rsidR="00B83BBE">
            <w:rPr>
              <w:rFonts w:ascii="Verdana" w:hAnsi="Verdana"/>
              <w:b/>
              <w:u w:val="single"/>
              <w:lang w:val="el-GR"/>
            </w:rPr>
            <w:t>ΙΙ.</w:t>
          </w:r>
          <w:r w:rsidRPr="00303799">
            <w:rPr>
              <w:rFonts w:ascii="Verdana" w:hAnsi="Verdana"/>
              <w:b/>
              <w:u w:val="single"/>
              <w:lang w:val="el-GR"/>
            </w:rPr>
            <w:t>4-ΟΡΙΣΜΟΣ ΠΡΟΒΛΗΜΑΤΙΚΩΝ ΕΠΙΧΕΙΡΗΣΕΩΝ</w:t>
          </w:r>
        </w:p>
      </w:tc>
      <w:tc>
        <w:tcPr>
          <w:tcW w:w="2329" w:type="dxa"/>
          <w:vAlign w:val="center"/>
        </w:tcPr>
        <w:p w:rsidR="00303799" w:rsidRDefault="00303799">
          <w:pPr>
            <w:pStyle w:val="a6"/>
            <w:rPr>
              <w:lang w:val="el-GR"/>
            </w:rPr>
          </w:pPr>
          <w:r>
            <w:rPr>
              <w:noProof/>
              <w:lang w:val="el-GR" w:eastAsia="el-GR"/>
            </w:rPr>
            <w:drawing>
              <wp:inline distT="0" distB="0" distL="0" distR="0" wp14:anchorId="4DFBD8CE">
                <wp:extent cx="1078865" cy="71945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8865" cy="719455"/>
                        </a:xfrm>
                        <a:prstGeom prst="rect">
                          <a:avLst/>
                        </a:prstGeom>
                        <a:noFill/>
                      </pic:spPr>
                    </pic:pic>
                  </a:graphicData>
                </a:graphic>
              </wp:inline>
            </w:drawing>
          </w:r>
        </w:p>
      </w:tc>
    </w:tr>
  </w:tbl>
  <w:p w:rsidR="00303799" w:rsidRPr="00B23307" w:rsidRDefault="00303799">
    <w:pPr>
      <w:pStyle w:val="a6"/>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6"/>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446"/>
    <w:rsid w:val="000C2C3C"/>
    <w:rsid w:val="00303799"/>
    <w:rsid w:val="005624DA"/>
    <w:rsid w:val="005F269C"/>
    <w:rsid w:val="008707DA"/>
    <w:rsid w:val="00965B07"/>
    <w:rsid w:val="009A165A"/>
    <w:rsid w:val="00B23307"/>
    <w:rsid w:val="00B43390"/>
    <w:rsid w:val="00B72446"/>
    <w:rsid w:val="00B83BBE"/>
    <w:rsid w:val="00C26CAA"/>
    <w:rsid w:val="00C5756E"/>
    <w:rsid w:val="00CA4C4D"/>
    <w:rsid w:val="00CC591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BE574B2E-7D7A-4790-9042-60743D48B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756E"/>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C5756E"/>
    <w:pPr>
      <w:keepNext/>
      <w:numPr>
        <w:numId w:val="1"/>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C5756E"/>
    <w:pPr>
      <w:keepNext/>
      <w:numPr>
        <w:ilvl w:val="1"/>
        <w:numId w:val="1"/>
      </w:numPr>
      <w:spacing w:before="120"/>
      <w:jc w:val="left"/>
      <w:outlineLvl w:val="1"/>
    </w:pPr>
    <w:rPr>
      <w:b/>
      <w:sz w:val="22"/>
      <w:szCs w:val="20"/>
    </w:rPr>
  </w:style>
  <w:style w:type="paragraph" w:styleId="3">
    <w:name w:val="heading 3"/>
    <w:basedOn w:val="a"/>
    <w:next w:val="a"/>
    <w:link w:val="3Char"/>
    <w:qFormat/>
    <w:rsid w:val="00C5756E"/>
    <w:pPr>
      <w:keepNext/>
      <w:numPr>
        <w:ilvl w:val="2"/>
        <w:numId w:val="1"/>
      </w:numPr>
      <w:spacing w:before="240" w:after="60"/>
      <w:outlineLvl w:val="2"/>
    </w:pPr>
    <w:rPr>
      <w:b/>
      <w:bCs/>
      <w:sz w:val="22"/>
      <w:szCs w:val="26"/>
    </w:rPr>
  </w:style>
  <w:style w:type="paragraph" w:styleId="5">
    <w:name w:val="heading 5"/>
    <w:basedOn w:val="a"/>
    <w:next w:val="a"/>
    <w:link w:val="5Char"/>
    <w:qFormat/>
    <w:rsid w:val="00C5756E"/>
    <w:pPr>
      <w:numPr>
        <w:ilvl w:val="4"/>
        <w:numId w:val="1"/>
      </w:numPr>
      <w:spacing w:before="240" w:after="60"/>
      <w:outlineLvl w:val="4"/>
    </w:pPr>
    <w:rPr>
      <w:b/>
      <w:bCs/>
      <w:i/>
      <w:iCs/>
      <w:sz w:val="26"/>
      <w:szCs w:val="26"/>
    </w:rPr>
  </w:style>
  <w:style w:type="paragraph" w:styleId="6">
    <w:name w:val="heading 6"/>
    <w:basedOn w:val="a"/>
    <w:next w:val="a"/>
    <w:link w:val="6Char"/>
    <w:qFormat/>
    <w:rsid w:val="00C5756E"/>
    <w:pPr>
      <w:numPr>
        <w:ilvl w:val="5"/>
        <w:numId w:val="1"/>
      </w:numPr>
      <w:spacing w:before="240" w:after="60"/>
      <w:outlineLvl w:val="5"/>
    </w:pPr>
    <w:rPr>
      <w:b/>
      <w:bCs/>
      <w:sz w:val="22"/>
      <w:szCs w:val="22"/>
    </w:rPr>
  </w:style>
  <w:style w:type="paragraph" w:styleId="7">
    <w:name w:val="heading 7"/>
    <w:basedOn w:val="a"/>
    <w:next w:val="a"/>
    <w:link w:val="7Char"/>
    <w:qFormat/>
    <w:rsid w:val="00C5756E"/>
    <w:pPr>
      <w:numPr>
        <w:ilvl w:val="6"/>
        <w:numId w:val="1"/>
      </w:numPr>
      <w:spacing w:before="240" w:after="60"/>
      <w:outlineLvl w:val="6"/>
    </w:pPr>
  </w:style>
  <w:style w:type="paragraph" w:styleId="8">
    <w:name w:val="heading 8"/>
    <w:basedOn w:val="a"/>
    <w:next w:val="a"/>
    <w:link w:val="8Char"/>
    <w:qFormat/>
    <w:rsid w:val="00C5756E"/>
    <w:pPr>
      <w:numPr>
        <w:ilvl w:val="7"/>
        <w:numId w:val="1"/>
      </w:numPr>
      <w:spacing w:before="240" w:after="60"/>
      <w:outlineLvl w:val="7"/>
    </w:pPr>
    <w:rPr>
      <w:i/>
      <w:iCs/>
    </w:rPr>
  </w:style>
  <w:style w:type="paragraph" w:styleId="9">
    <w:name w:val="heading 9"/>
    <w:basedOn w:val="a"/>
    <w:next w:val="a"/>
    <w:link w:val="9Char"/>
    <w:qFormat/>
    <w:rsid w:val="00C5756E"/>
    <w:pPr>
      <w:numPr>
        <w:ilvl w:val="8"/>
        <w:numId w:val="1"/>
      </w:numPr>
      <w:spacing w:before="240" w:after="60"/>
      <w:outlineLvl w:val="8"/>
    </w:pPr>
    <w:rPr>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5756E"/>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C5756E"/>
    <w:rPr>
      <w:rFonts w:ascii="Calibri" w:eastAsia="Times New Roman" w:hAnsi="Calibri" w:cs="Times New Roman"/>
      <w:b/>
      <w:szCs w:val="20"/>
      <w:lang w:val="en-GB" w:eastAsia="ar-SA"/>
    </w:rPr>
  </w:style>
  <w:style w:type="character" w:customStyle="1" w:styleId="3Char">
    <w:name w:val="Επικεφαλίδα 3 Char"/>
    <w:basedOn w:val="a0"/>
    <w:link w:val="3"/>
    <w:rsid w:val="00C5756E"/>
    <w:rPr>
      <w:rFonts w:ascii="Calibri" w:eastAsia="Times New Roman" w:hAnsi="Calibri" w:cs="Times New Roman"/>
      <w:b/>
      <w:bCs/>
      <w:szCs w:val="26"/>
      <w:lang w:val="en-GB" w:eastAsia="ar-SA"/>
    </w:rPr>
  </w:style>
  <w:style w:type="character" w:customStyle="1" w:styleId="5Char">
    <w:name w:val="Επικεφαλίδα 5 Char"/>
    <w:basedOn w:val="a0"/>
    <w:link w:val="5"/>
    <w:rsid w:val="00C5756E"/>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C5756E"/>
    <w:rPr>
      <w:rFonts w:ascii="Calibri" w:eastAsia="Times New Roman" w:hAnsi="Calibri" w:cs="Times New Roman"/>
      <w:b/>
      <w:bCs/>
      <w:lang w:val="en-GB" w:eastAsia="ar-SA"/>
    </w:rPr>
  </w:style>
  <w:style w:type="character" w:customStyle="1" w:styleId="7Char">
    <w:name w:val="Επικεφαλίδα 7 Char"/>
    <w:basedOn w:val="a0"/>
    <w:link w:val="7"/>
    <w:rsid w:val="00C5756E"/>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C5756E"/>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C5756E"/>
    <w:rPr>
      <w:rFonts w:ascii="Calibri" w:eastAsia="Times New Roman" w:hAnsi="Calibri" w:cs="Times New Roman"/>
      <w:lang w:val="en-GB" w:eastAsia="ar-SA"/>
    </w:rPr>
  </w:style>
  <w:style w:type="character" w:styleId="a3">
    <w:name w:val="annotation reference"/>
    <w:uiPriority w:val="99"/>
    <w:unhideWhenUsed/>
    <w:rsid w:val="00C5756E"/>
    <w:rPr>
      <w:sz w:val="16"/>
      <w:szCs w:val="16"/>
    </w:rPr>
  </w:style>
  <w:style w:type="paragraph" w:styleId="a4">
    <w:name w:val="annotation text"/>
    <w:basedOn w:val="a"/>
    <w:link w:val="Char"/>
    <w:uiPriority w:val="99"/>
    <w:rsid w:val="00C5756E"/>
    <w:rPr>
      <w:szCs w:val="20"/>
    </w:rPr>
  </w:style>
  <w:style w:type="character" w:customStyle="1" w:styleId="Char">
    <w:name w:val="Κείμενο σχολίου Char"/>
    <w:basedOn w:val="a0"/>
    <w:link w:val="a4"/>
    <w:uiPriority w:val="99"/>
    <w:rsid w:val="00C5756E"/>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C5756E"/>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C5756E"/>
    <w:rPr>
      <w:rFonts w:ascii="Tahoma" w:eastAsia="Times New Roman" w:hAnsi="Tahoma" w:cs="Tahoma"/>
      <w:sz w:val="16"/>
      <w:szCs w:val="16"/>
      <w:lang w:val="en-GB" w:eastAsia="ar-SA"/>
    </w:rPr>
  </w:style>
  <w:style w:type="paragraph" w:styleId="a6">
    <w:name w:val="header"/>
    <w:basedOn w:val="a"/>
    <w:link w:val="Char1"/>
    <w:uiPriority w:val="99"/>
    <w:unhideWhenUsed/>
    <w:rsid w:val="00B23307"/>
    <w:pPr>
      <w:tabs>
        <w:tab w:val="center" w:pos="4153"/>
        <w:tab w:val="right" w:pos="8306"/>
      </w:tabs>
      <w:spacing w:line="240" w:lineRule="auto"/>
    </w:pPr>
  </w:style>
  <w:style w:type="character" w:customStyle="1" w:styleId="Char1">
    <w:name w:val="Κεφαλίδα Char"/>
    <w:basedOn w:val="a0"/>
    <w:link w:val="a6"/>
    <w:uiPriority w:val="99"/>
    <w:rsid w:val="00B23307"/>
    <w:rPr>
      <w:rFonts w:ascii="Calibri" w:eastAsia="Times New Roman" w:hAnsi="Calibri" w:cs="Times New Roman"/>
      <w:sz w:val="20"/>
      <w:szCs w:val="24"/>
      <w:lang w:val="en-GB" w:eastAsia="ar-SA"/>
    </w:rPr>
  </w:style>
  <w:style w:type="paragraph" w:styleId="a7">
    <w:name w:val="footer"/>
    <w:basedOn w:val="a"/>
    <w:link w:val="Char2"/>
    <w:uiPriority w:val="99"/>
    <w:unhideWhenUsed/>
    <w:rsid w:val="00B23307"/>
    <w:pPr>
      <w:tabs>
        <w:tab w:val="center" w:pos="4153"/>
        <w:tab w:val="right" w:pos="8306"/>
      </w:tabs>
      <w:spacing w:line="240" w:lineRule="auto"/>
    </w:pPr>
  </w:style>
  <w:style w:type="character" w:customStyle="1" w:styleId="Char2">
    <w:name w:val="Υποσέλιδο Char"/>
    <w:basedOn w:val="a0"/>
    <w:link w:val="a7"/>
    <w:uiPriority w:val="99"/>
    <w:rsid w:val="00B23307"/>
    <w:rPr>
      <w:rFonts w:ascii="Calibri" w:eastAsia="Times New Roman" w:hAnsi="Calibri" w:cs="Times New Roman"/>
      <w:sz w:val="20"/>
      <w:szCs w:val="24"/>
      <w:lang w:val="en-GB" w:eastAsia="ar-SA"/>
    </w:rPr>
  </w:style>
  <w:style w:type="table" w:styleId="a8">
    <w:name w:val="Table Grid"/>
    <w:basedOn w:val="a1"/>
    <w:uiPriority w:val="59"/>
    <w:rsid w:val="00303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1507</Words>
  <Characters>8141</Characters>
  <Application>Microsoft Office Word</Application>
  <DocSecurity>0</DocSecurity>
  <Lines>67</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user</cp:lastModifiedBy>
  <cp:revision>14</cp:revision>
  <dcterms:created xsi:type="dcterms:W3CDTF">2018-04-24T10:03:00Z</dcterms:created>
  <dcterms:modified xsi:type="dcterms:W3CDTF">2019-01-15T12:16:00Z</dcterms:modified>
</cp:coreProperties>
</file>