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70CD6" w14:textId="77777777" w:rsidR="00777B40" w:rsidRPr="003F65EC" w:rsidRDefault="003F65EC" w:rsidP="00777B40">
      <w:pPr>
        <w:rPr>
          <w:b/>
        </w:rPr>
      </w:pPr>
      <w:r w:rsidRPr="003F65EC">
        <w:rPr>
          <w:b/>
        </w:rPr>
        <w:t xml:space="preserve">ΠΑΡΑΡΤΗΜΑ </w:t>
      </w:r>
      <w:r w:rsidR="00777B40" w:rsidRPr="003F65EC">
        <w:rPr>
          <w:b/>
          <w:lang w:val="en-US"/>
        </w:rPr>
        <w:t>IV</w:t>
      </w:r>
      <w:r w:rsidR="00777B40" w:rsidRPr="003F65EC">
        <w:rPr>
          <w:b/>
        </w:rPr>
        <w:t xml:space="preserve"> </w:t>
      </w:r>
      <w:r w:rsidR="00777B40" w:rsidRPr="003F65EC">
        <w:rPr>
          <w:b/>
          <w:lang w:val="en-US"/>
        </w:rPr>
        <w:t>I</w:t>
      </w:r>
      <w:r w:rsidR="00777B40" w:rsidRPr="003F65EC">
        <w:rPr>
          <w:b/>
        </w:rPr>
        <w:t xml:space="preserve"> </w:t>
      </w:r>
      <w:r>
        <w:rPr>
          <w:b/>
        </w:rPr>
        <w:t xml:space="preserve"> </w:t>
      </w:r>
      <w:r w:rsidR="00777B40" w:rsidRPr="003F65EC">
        <w:rPr>
          <w:b/>
        </w:rPr>
        <w:t xml:space="preserve">Ένταση Ενίσχυσης </w:t>
      </w:r>
    </w:p>
    <w:tbl>
      <w:tblPr>
        <w:tblW w:w="1573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81"/>
        <w:gridCol w:w="2296"/>
        <w:gridCol w:w="1432"/>
        <w:gridCol w:w="1276"/>
        <w:gridCol w:w="2111"/>
        <w:gridCol w:w="1858"/>
        <w:gridCol w:w="4380"/>
      </w:tblGrid>
      <w:tr w:rsidR="00223961" w:rsidRPr="00223961" w14:paraId="3E3023F9" w14:textId="77777777" w:rsidTr="009A3BA3">
        <w:trPr>
          <w:trHeight w:val="681"/>
          <w:tblHeader/>
        </w:trPr>
        <w:tc>
          <w:tcPr>
            <w:tcW w:w="1701" w:type="dxa"/>
            <w:shd w:val="clear" w:color="auto" w:fill="B4C6E7"/>
            <w:vAlign w:val="center"/>
            <w:hideMark/>
          </w:tcPr>
          <w:p w14:paraId="437086EF"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ΔΡΑΣΗ</w:t>
            </w:r>
          </w:p>
        </w:tc>
        <w:tc>
          <w:tcPr>
            <w:tcW w:w="681" w:type="dxa"/>
            <w:shd w:val="clear" w:color="auto" w:fill="B4C6E7"/>
            <w:vAlign w:val="center"/>
            <w:hideMark/>
          </w:tcPr>
          <w:p w14:paraId="4EF546AE"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ΥΠΟ-ΔΡΑΣΗ</w:t>
            </w:r>
          </w:p>
        </w:tc>
        <w:tc>
          <w:tcPr>
            <w:tcW w:w="2296" w:type="dxa"/>
            <w:shd w:val="clear" w:color="auto" w:fill="B4C6E7"/>
            <w:vAlign w:val="center"/>
            <w:hideMark/>
          </w:tcPr>
          <w:p w14:paraId="32A56278"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ΤΙΤΛΟΣ ΥΠΟΔΡΑΣΗΣ</w:t>
            </w:r>
          </w:p>
        </w:tc>
        <w:tc>
          <w:tcPr>
            <w:tcW w:w="1432" w:type="dxa"/>
            <w:shd w:val="clear" w:color="auto" w:fill="B4C6E7"/>
            <w:vAlign w:val="center"/>
          </w:tcPr>
          <w:p w14:paraId="0DBF6698"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ΕΠΙΛΕΞΙΜΟΤΗΤΑ ΥΠΟΔΡΑΣΗΣ</w:t>
            </w:r>
          </w:p>
        </w:tc>
        <w:tc>
          <w:tcPr>
            <w:tcW w:w="1276" w:type="dxa"/>
            <w:shd w:val="clear" w:color="auto" w:fill="B4C6E7"/>
            <w:vAlign w:val="center"/>
            <w:hideMark/>
          </w:tcPr>
          <w:p w14:paraId="02CF9643"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ΠΟΣΟΣΤΟ ΕΝΙΣΧΥΣΗΣ ΕΩΣ</w:t>
            </w:r>
          </w:p>
        </w:tc>
        <w:tc>
          <w:tcPr>
            <w:tcW w:w="2111" w:type="dxa"/>
            <w:shd w:val="clear" w:color="auto" w:fill="B4C6E7"/>
            <w:vAlign w:val="center"/>
            <w:hideMark/>
          </w:tcPr>
          <w:p w14:paraId="70C42EED"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ΚΑΘΕΣΤΟΣ ΕΝΙΣΧΥΣΗΣ</w:t>
            </w:r>
          </w:p>
        </w:tc>
        <w:tc>
          <w:tcPr>
            <w:tcW w:w="1858" w:type="dxa"/>
            <w:shd w:val="clear" w:color="auto" w:fill="B4C6E7"/>
            <w:vAlign w:val="center"/>
            <w:hideMark/>
          </w:tcPr>
          <w:p w14:paraId="314928D8"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ΕΙΔΙΚΟΙ ΠΕΡΙΟΡΙΣΜΟΙ</w:t>
            </w:r>
          </w:p>
        </w:tc>
        <w:tc>
          <w:tcPr>
            <w:tcW w:w="4380" w:type="dxa"/>
            <w:shd w:val="clear" w:color="auto" w:fill="B4C6E7"/>
            <w:vAlign w:val="center"/>
          </w:tcPr>
          <w:p w14:paraId="5EB0C2DB" w14:textId="77777777" w:rsidR="00223961" w:rsidRPr="00223961" w:rsidRDefault="00223961" w:rsidP="009A3BA3">
            <w:pPr>
              <w:tabs>
                <w:tab w:val="num" w:pos="142"/>
              </w:tabs>
              <w:spacing w:after="0" w:line="240" w:lineRule="auto"/>
              <w:jc w:val="center"/>
              <w:rPr>
                <w:rFonts w:ascii="Verdana" w:eastAsia="Times New Roman" w:hAnsi="Verdana" w:cs="Calibri"/>
                <w:b/>
                <w:bCs/>
                <w:color w:val="000000"/>
                <w:sz w:val="16"/>
                <w:szCs w:val="16"/>
                <w:lang w:eastAsia="el-GR"/>
              </w:rPr>
            </w:pPr>
            <w:r w:rsidRPr="00223961">
              <w:rPr>
                <w:rFonts w:ascii="Verdana" w:eastAsia="Times New Roman" w:hAnsi="Verdana" w:cs="Calibri"/>
                <w:b/>
                <w:bCs/>
                <w:color w:val="000000"/>
                <w:sz w:val="16"/>
                <w:szCs w:val="16"/>
                <w:lang w:eastAsia="el-GR"/>
              </w:rPr>
              <w:t>ΓΕΝΙΚΟΙ ΠΕΡΙΟΡΙΣΜΟΙ</w:t>
            </w:r>
          </w:p>
        </w:tc>
      </w:tr>
      <w:tr w:rsidR="00223961" w:rsidRPr="00223961" w14:paraId="1ECD3D5B" w14:textId="77777777" w:rsidTr="009A3BA3">
        <w:trPr>
          <w:trHeight w:val="1335"/>
        </w:trPr>
        <w:tc>
          <w:tcPr>
            <w:tcW w:w="1701" w:type="dxa"/>
            <w:shd w:val="clear" w:color="auto" w:fill="auto"/>
            <w:textDirection w:val="btLr"/>
            <w:vAlign w:val="center"/>
            <w:hideMark/>
          </w:tcPr>
          <w:p w14:paraId="57E0EE2F" w14:textId="77777777" w:rsidR="00223961" w:rsidRPr="00223961" w:rsidRDefault="00223961"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19.2.1 Μεταφορά γνώσεων &amp; ενημέρωσης</w:t>
            </w:r>
          </w:p>
        </w:tc>
        <w:tc>
          <w:tcPr>
            <w:tcW w:w="681" w:type="dxa"/>
            <w:shd w:val="clear" w:color="auto" w:fill="auto"/>
            <w:vAlign w:val="center"/>
            <w:hideMark/>
          </w:tcPr>
          <w:p w14:paraId="6B1E5C09" w14:textId="77777777" w:rsidR="00223961" w:rsidRPr="00223961" w:rsidRDefault="00223961"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19.2.1.1</w:t>
            </w:r>
          </w:p>
        </w:tc>
        <w:tc>
          <w:tcPr>
            <w:tcW w:w="2296" w:type="dxa"/>
            <w:shd w:val="clear" w:color="auto" w:fill="auto"/>
            <w:vAlign w:val="center"/>
            <w:hideMark/>
          </w:tcPr>
          <w:p w14:paraId="06BDB2BE" w14:textId="77777777" w:rsidR="00223961" w:rsidRPr="00223961" w:rsidRDefault="00223961" w:rsidP="00223961">
            <w:pPr>
              <w:tabs>
                <w:tab w:val="num" w:pos="142"/>
              </w:tabs>
              <w:spacing w:after="0" w:line="240" w:lineRule="auto"/>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Μεταφορά γνώσεων &amp; ενημέρωσης στο γεωργικό και το δασικό τομέα</w:t>
            </w:r>
          </w:p>
        </w:tc>
        <w:tc>
          <w:tcPr>
            <w:tcW w:w="1432" w:type="dxa"/>
            <w:vAlign w:val="center"/>
          </w:tcPr>
          <w:p w14:paraId="367EE509" w14:textId="77777777" w:rsidR="00223961" w:rsidRPr="00223961" w:rsidRDefault="00223961" w:rsidP="00223961">
            <w:pPr>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άρθρο 14</w:t>
            </w:r>
          </w:p>
        </w:tc>
        <w:tc>
          <w:tcPr>
            <w:tcW w:w="1276" w:type="dxa"/>
            <w:shd w:val="clear" w:color="auto" w:fill="auto"/>
            <w:vAlign w:val="center"/>
            <w:hideMark/>
          </w:tcPr>
          <w:p w14:paraId="3D256515" w14:textId="77777777" w:rsidR="00223961" w:rsidRPr="00223961" w:rsidRDefault="00223961"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100%</w:t>
            </w:r>
          </w:p>
        </w:tc>
        <w:tc>
          <w:tcPr>
            <w:tcW w:w="2111" w:type="dxa"/>
            <w:shd w:val="clear" w:color="auto" w:fill="auto"/>
            <w:vAlign w:val="center"/>
            <w:hideMark/>
          </w:tcPr>
          <w:p w14:paraId="5EA3B629" w14:textId="77777777" w:rsidR="00223961" w:rsidRPr="00223961" w:rsidRDefault="00223961" w:rsidP="00223961">
            <w:pPr>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1407/2013 (δασικός τομέας) ή Κανονισμός (ΕΕ) 1305/2013, άρθρο 14 (γεωργικός τομέας</w:t>
            </w:r>
          </w:p>
        </w:tc>
        <w:tc>
          <w:tcPr>
            <w:tcW w:w="1858" w:type="dxa"/>
            <w:shd w:val="clear" w:color="auto" w:fill="auto"/>
            <w:vAlign w:val="center"/>
            <w:hideMark/>
          </w:tcPr>
          <w:p w14:paraId="49903370" w14:textId="77777777" w:rsidR="00223961" w:rsidRPr="00223961" w:rsidRDefault="00223961"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Ο προϋπολογισμός της προτεινόμενης πράξης είναι ≤ 20.000€</w:t>
            </w:r>
          </w:p>
        </w:tc>
        <w:tc>
          <w:tcPr>
            <w:tcW w:w="4380" w:type="dxa"/>
            <w:vAlign w:val="center"/>
          </w:tcPr>
          <w:p w14:paraId="3C1222C9" w14:textId="77777777" w:rsidR="00223961" w:rsidRPr="009A3BA3" w:rsidRDefault="00223961" w:rsidP="00223961">
            <w:pPr>
              <w:tabs>
                <w:tab w:val="num" w:pos="142"/>
              </w:tabs>
              <w:spacing w:after="0" w:line="240" w:lineRule="auto"/>
              <w:rPr>
                <w:rFonts w:ascii="Verdana" w:eastAsia="Times New Roman" w:hAnsi="Verdana" w:cs="Calibri"/>
                <w:sz w:val="16"/>
                <w:szCs w:val="16"/>
                <w:lang w:eastAsia="el-GR"/>
              </w:rPr>
            </w:pPr>
            <w:r w:rsidRPr="009A3BA3">
              <w:rPr>
                <w:rFonts w:ascii="Verdana" w:eastAsia="Times New Roman" w:hAnsi="Verdana" w:cs="Calibri"/>
                <w:sz w:val="16"/>
                <w:szCs w:val="16"/>
                <w:lang w:eastAsia="el-GR"/>
              </w:rPr>
              <w:t>Η στήριξη βάσει του εν λόγω μέτρου πρέπει να αποβαίνει προς όφελος των προσώπων που απασχολούνται στους τομείς της γεωργίας, των τροφίμων και της δασοπονίας, των διαχειριστών γης και άλλων οικονομικών φορέων που είναι ΜΜΕ, οι οποίες δραστηριοποιούνται στις αγροτικές περιοχές.</w:t>
            </w:r>
          </w:p>
        </w:tc>
      </w:tr>
      <w:tr w:rsidR="00E6046D" w:rsidRPr="00223961" w14:paraId="1E9C2DA8" w14:textId="77777777" w:rsidTr="009A3BA3">
        <w:trPr>
          <w:trHeight w:val="1000"/>
        </w:trPr>
        <w:tc>
          <w:tcPr>
            <w:tcW w:w="1701" w:type="dxa"/>
            <w:vMerge w:val="restart"/>
            <w:shd w:val="clear" w:color="auto" w:fill="auto"/>
            <w:textDirection w:val="btLr"/>
            <w:vAlign w:val="center"/>
            <w:hideMark/>
          </w:tcPr>
          <w:p w14:paraId="42B798B6" w14:textId="77777777" w:rsidR="00E6046D" w:rsidRPr="00223961" w:rsidRDefault="00E6046D"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19.2.2  Ανάπτυξη / βελτίωση της επιχειρηματικότητας και  ανταγωνιστικότητας της περιοχή εφαρμογής σε εξειδικευμένους τομείς, περιοχές ή δικαιούχους</w:t>
            </w:r>
          </w:p>
        </w:tc>
        <w:tc>
          <w:tcPr>
            <w:tcW w:w="681" w:type="dxa"/>
            <w:vMerge w:val="restart"/>
            <w:shd w:val="clear" w:color="auto" w:fill="auto"/>
            <w:vAlign w:val="center"/>
            <w:hideMark/>
          </w:tcPr>
          <w:p w14:paraId="186A50FE" w14:textId="77777777" w:rsidR="00E6046D" w:rsidRPr="00223961" w:rsidRDefault="00E6046D"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19.2.2.2</w:t>
            </w:r>
          </w:p>
        </w:tc>
        <w:tc>
          <w:tcPr>
            <w:tcW w:w="2296" w:type="dxa"/>
            <w:vMerge w:val="restart"/>
            <w:shd w:val="clear" w:color="auto" w:fill="auto"/>
            <w:vAlign w:val="center"/>
            <w:hideMark/>
          </w:tcPr>
          <w:p w14:paraId="41B1CFB4" w14:textId="77777777" w:rsidR="00E6046D" w:rsidRPr="00223961" w:rsidRDefault="00E6046D" w:rsidP="00223961">
            <w:pPr>
              <w:tabs>
                <w:tab w:val="num" w:pos="142"/>
              </w:tabs>
              <w:spacing w:after="0" w:line="240" w:lineRule="auto"/>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Ενίσχυση επενδύσεων στην μεταποίηση, εμπορία και/ή ανάπτυξη γεωργικών προϊόντων με αποτέλεσμα μη γεωργικό προϊόν για την εξυπηρέτηση ειδικών στόχων της τοπικής στρατηγικής.</w:t>
            </w:r>
          </w:p>
        </w:tc>
        <w:tc>
          <w:tcPr>
            <w:tcW w:w="1432" w:type="dxa"/>
            <w:vAlign w:val="center"/>
          </w:tcPr>
          <w:p w14:paraId="5D7A0567" w14:textId="17346A84" w:rsidR="00E6046D" w:rsidRPr="00223961" w:rsidRDefault="00E6046D" w:rsidP="00223961">
            <w:pPr>
              <w:tabs>
                <w:tab w:val="num" w:pos="142"/>
              </w:tabs>
              <w:spacing w:after="0" w:line="240" w:lineRule="auto"/>
              <w:jc w:val="center"/>
              <w:rPr>
                <w:rFonts w:ascii="Verdana" w:eastAsia="Times New Roman" w:hAnsi="Verdana" w:cs="Calibri"/>
                <w:color w:val="000000"/>
                <w:sz w:val="16"/>
                <w:szCs w:val="16"/>
                <w:lang w:eastAsia="el-GR"/>
              </w:rPr>
            </w:pPr>
          </w:p>
        </w:tc>
        <w:tc>
          <w:tcPr>
            <w:tcW w:w="1276" w:type="dxa"/>
            <w:shd w:val="clear" w:color="auto" w:fill="auto"/>
            <w:vAlign w:val="center"/>
            <w:hideMark/>
          </w:tcPr>
          <w:p w14:paraId="2D2E3888" w14:textId="77777777" w:rsidR="00E6046D" w:rsidRPr="00223961" w:rsidRDefault="00E6046D"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40%</w:t>
            </w:r>
          </w:p>
        </w:tc>
        <w:tc>
          <w:tcPr>
            <w:tcW w:w="2111" w:type="dxa"/>
            <w:shd w:val="clear" w:color="auto" w:fill="auto"/>
            <w:vAlign w:val="center"/>
          </w:tcPr>
          <w:p w14:paraId="613B7366" w14:textId="77777777" w:rsidR="00E6046D" w:rsidRPr="00223961" w:rsidRDefault="00E6046D" w:rsidP="00223961">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 xml:space="preserve">Κανονισμός (ΕΕ) 1407/2013 </w:t>
            </w:r>
          </w:p>
        </w:tc>
        <w:tc>
          <w:tcPr>
            <w:tcW w:w="1858" w:type="dxa"/>
            <w:shd w:val="clear" w:color="auto" w:fill="FFFFFF"/>
            <w:vAlign w:val="center"/>
            <w:hideMark/>
          </w:tcPr>
          <w:p w14:paraId="40C70086" w14:textId="77777777" w:rsidR="00E6046D" w:rsidRPr="00223961" w:rsidRDefault="00E6046D" w:rsidP="00223961">
            <w:pPr>
              <w:tabs>
                <w:tab w:val="num" w:pos="142"/>
              </w:tabs>
              <w:spacing w:after="0" w:line="240" w:lineRule="auto"/>
              <w:rPr>
                <w:rFonts w:ascii="Verdana" w:eastAsia="Times New Roman" w:hAnsi="Verdana" w:cs="Calibri"/>
                <w:sz w:val="16"/>
                <w:szCs w:val="16"/>
                <w:lang w:eastAsia="el-GR"/>
              </w:rPr>
            </w:pPr>
            <w:r w:rsidRPr="00223961">
              <w:rPr>
                <w:rFonts w:ascii="Verdana" w:eastAsia="Times New Roman" w:hAnsi="Verdana" w:cs="Calibri"/>
                <w:color w:val="000000"/>
                <w:sz w:val="16"/>
                <w:szCs w:val="16"/>
                <w:lang w:eastAsia="el-GR"/>
              </w:rPr>
              <w:t>ΑΤΤΙΚΗ</w:t>
            </w:r>
          </w:p>
        </w:tc>
        <w:tc>
          <w:tcPr>
            <w:tcW w:w="4380" w:type="dxa"/>
            <w:shd w:val="clear" w:color="auto" w:fill="FFFFFF"/>
            <w:vAlign w:val="center"/>
          </w:tcPr>
          <w:p w14:paraId="2D6BE0CF" w14:textId="77777777" w:rsidR="00E6046D" w:rsidRPr="00223961" w:rsidRDefault="00E6046D" w:rsidP="00223961">
            <w:pPr>
              <w:spacing w:after="0" w:line="240" w:lineRule="auto"/>
              <w:jc w:val="center"/>
              <w:rPr>
                <w:rFonts w:ascii="Verdana" w:eastAsia="Times New Roman" w:hAnsi="Verdana" w:cs="Calibri"/>
                <w:color w:val="000000"/>
                <w:sz w:val="16"/>
                <w:szCs w:val="16"/>
                <w:lang w:eastAsia="el-GR"/>
              </w:rPr>
            </w:pPr>
          </w:p>
        </w:tc>
      </w:tr>
      <w:tr w:rsidR="00E6046D" w:rsidRPr="00223961" w14:paraId="56C35DCD" w14:textId="77777777" w:rsidTr="009A3BA3">
        <w:trPr>
          <w:trHeight w:val="1000"/>
        </w:trPr>
        <w:tc>
          <w:tcPr>
            <w:tcW w:w="1701" w:type="dxa"/>
            <w:vMerge/>
            <w:shd w:val="clear" w:color="auto" w:fill="auto"/>
            <w:textDirection w:val="btLr"/>
            <w:vAlign w:val="center"/>
          </w:tcPr>
          <w:p w14:paraId="490F5007"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c>
          <w:tcPr>
            <w:tcW w:w="681" w:type="dxa"/>
            <w:vMerge/>
            <w:shd w:val="clear" w:color="auto" w:fill="auto"/>
            <w:vAlign w:val="center"/>
          </w:tcPr>
          <w:p w14:paraId="6B7E019E"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c>
          <w:tcPr>
            <w:tcW w:w="2296" w:type="dxa"/>
            <w:vMerge/>
            <w:shd w:val="clear" w:color="auto" w:fill="auto"/>
            <w:vAlign w:val="center"/>
          </w:tcPr>
          <w:p w14:paraId="5C110BE0" w14:textId="77777777"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p>
        </w:tc>
        <w:tc>
          <w:tcPr>
            <w:tcW w:w="1432" w:type="dxa"/>
            <w:vAlign w:val="center"/>
          </w:tcPr>
          <w:p w14:paraId="1501656C" w14:textId="50E718ED"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c>
          <w:tcPr>
            <w:tcW w:w="1276" w:type="dxa"/>
            <w:shd w:val="clear" w:color="auto" w:fill="auto"/>
            <w:vAlign w:val="center"/>
          </w:tcPr>
          <w:p w14:paraId="719C99ED" w14:textId="5DE340DF"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75%</w:t>
            </w:r>
          </w:p>
        </w:tc>
        <w:tc>
          <w:tcPr>
            <w:tcW w:w="2111" w:type="dxa"/>
            <w:shd w:val="clear" w:color="auto" w:fill="auto"/>
            <w:vAlign w:val="center"/>
          </w:tcPr>
          <w:p w14:paraId="1FCA140F" w14:textId="723C8992"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παράρτημα ΙΙ</w:t>
            </w:r>
          </w:p>
        </w:tc>
        <w:tc>
          <w:tcPr>
            <w:tcW w:w="1858" w:type="dxa"/>
            <w:shd w:val="clear" w:color="auto" w:fill="auto"/>
            <w:vAlign w:val="center"/>
          </w:tcPr>
          <w:p w14:paraId="267039C6" w14:textId="177688B9"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ΜΙΚΡΑ ΝΗΣΙΑ ΑΙΓΑΙΟΥ (ΚΥΘΗΡΑ – ΑΝΤΙΚΥΘΗΡΑ)</w:t>
            </w:r>
          </w:p>
        </w:tc>
        <w:tc>
          <w:tcPr>
            <w:tcW w:w="4380" w:type="dxa"/>
            <w:shd w:val="clear" w:color="auto" w:fill="FFFFFF"/>
            <w:vAlign w:val="center"/>
          </w:tcPr>
          <w:p w14:paraId="3A652EDB" w14:textId="77777777" w:rsidR="00E6046D" w:rsidRPr="00223961" w:rsidRDefault="00E6046D" w:rsidP="00E6046D">
            <w:pPr>
              <w:spacing w:after="0" w:line="240" w:lineRule="auto"/>
              <w:jc w:val="center"/>
              <w:rPr>
                <w:rFonts w:ascii="Verdana" w:eastAsia="Times New Roman" w:hAnsi="Verdana" w:cs="Calibri"/>
                <w:color w:val="000000"/>
                <w:sz w:val="16"/>
                <w:szCs w:val="16"/>
                <w:lang w:eastAsia="el-GR"/>
              </w:rPr>
            </w:pPr>
          </w:p>
        </w:tc>
      </w:tr>
      <w:tr w:rsidR="00E6046D" w:rsidRPr="00223961" w14:paraId="243495A2" w14:textId="77777777" w:rsidTr="009A3BA3">
        <w:trPr>
          <w:trHeight w:val="1739"/>
        </w:trPr>
        <w:tc>
          <w:tcPr>
            <w:tcW w:w="1701" w:type="dxa"/>
            <w:vMerge/>
            <w:vAlign w:val="center"/>
            <w:hideMark/>
          </w:tcPr>
          <w:p w14:paraId="6890524E" w14:textId="77777777"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p>
        </w:tc>
        <w:tc>
          <w:tcPr>
            <w:tcW w:w="681" w:type="dxa"/>
            <w:shd w:val="clear" w:color="auto" w:fill="auto"/>
            <w:vAlign w:val="center"/>
            <w:hideMark/>
          </w:tcPr>
          <w:p w14:paraId="03B27718"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19.2.2.3</w:t>
            </w:r>
          </w:p>
        </w:tc>
        <w:tc>
          <w:tcPr>
            <w:tcW w:w="2296" w:type="dxa"/>
            <w:shd w:val="clear" w:color="auto" w:fill="auto"/>
            <w:vAlign w:val="center"/>
            <w:hideMark/>
          </w:tcPr>
          <w:p w14:paraId="708F97C0" w14:textId="77777777"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Ενίσχυση επενδύσεων στον τομέα του τουρισμού με σκοπό την εξυπηρέτηση ειδικών στόχων της τοπικής στρατηγικής.</w:t>
            </w:r>
          </w:p>
        </w:tc>
        <w:tc>
          <w:tcPr>
            <w:tcW w:w="1432" w:type="dxa"/>
            <w:vAlign w:val="center"/>
          </w:tcPr>
          <w:p w14:paraId="4FBD9E41"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άρθρο 19</w:t>
            </w:r>
          </w:p>
        </w:tc>
        <w:tc>
          <w:tcPr>
            <w:tcW w:w="1276" w:type="dxa"/>
            <w:shd w:val="clear" w:color="auto" w:fill="auto"/>
            <w:vAlign w:val="center"/>
          </w:tcPr>
          <w:p w14:paraId="386D070B"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65%</w:t>
            </w:r>
          </w:p>
        </w:tc>
        <w:tc>
          <w:tcPr>
            <w:tcW w:w="2111" w:type="dxa"/>
            <w:shd w:val="clear" w:color="auto" w:fill="auto"/>
            <w:vAlign w:val="center"/>
            <w:hideMark/>
          </w:tcPr>
          <w:p w14:paraId="49B40C42"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1407/2013</w:t>
            </w:r>
          </w:p>
        </w:tc>
        <w:tc>
          <w:tcPr>
            <w:tcW w:w="1858" w:type="dxa"/>
            <w:shd w:val="clear" w:color="auto" w:fill="FFFFFF"/>
            <w:vAlign w:val="center"/>
            <w:hideMark/>
          </w:tcPr>
          <w:p w14:paraId="1B4722F6" w14:textId="77777777" w:rsidR="00E6046D" w:rsidRPr="00223961" w:rsidRDefault="00E6046D" w:rsidP="00E6046D">
            <w:pPr>
              <w:spacing w:after="0" w:line="240" w:lineRule="auto"/>
              <w:jc w:val="center"/>
              <w:rPr>
                <w:rFonts w:ascii="Verdana" w:eastAsia="Times New Roman" w:hAnsi="Verdana" w:cs="Arial"/>
                <w:sz w:val="16"/>
                <w:szCs w:val="16"/>
                <w:lang w:eastAsia="el-GR"/>
              </w:rPr>
            </w:pPr>
            <w:r w:rsidRPr="00223961">
              <w:rPr>
                <w:rFonts w:ascii="Verdana" w:eastAsia="Times New Roman" w:hAnsi="Verdana" w:cs="Arial"/>
                <w:sz w:val="16"/>
                <w:szCs w:val="16"/>
                <w:lang w:eastAsia="el-GR"/>
              </w:rPr>
              <w:t>Πολύ Μικρές έως Μικρές Επιχειρήσεις</w:t>
            </w:r>
          </w:p>
        </w:tc>
        <w:tc>
          <w:tcPr>
            <w:tcW w:w="4380" w:type="dxa"/>
            <w:shd w:val="clear" w:color="auto" w:fill="FFFFFF"/>
            <w:vAlign w:val="center"/>
          </w:tcPr>
          <w:p w14:paraId="1314E8D3" w14:textId="77777777" w:rsidR="00E6046D" w:rsidRPr="009A3BA3" w:rsidRDefault="00E6046D" w:rsidP="009A3BA3">
            <w:pPr>
              <w:tabs>
                <w:tab w:val="num" w:pos="142"/>
              </w:tabs>
              <w:spacing w:after="0" w:line="240" w:lineRule="auto"/>
              <w:rPr>
                <w:rFonts w:ascii="Verdana" w:eastAsia="Times New Roman" w:hAnsi="Verdana" w:cs="Calibri"/>
                <w:sz w:val="16"/>
                <w:szCs w:val="16"/>
                <w:lang w:eastAsia="el-GR"/>
              </w:rPr>
            </w:pPr>
            <w:r w:rsidRPr="009A3BA3">
              <w:rPr>
                <w:rFonts w:ascii="Verdana" w:eastAsia="Times New Roman" w:hAnsi="Verdana" w:cs="Calibri"/>
                <w:sz w:val="16"/>
                <w:szCs w:val="16"/>
                <w:lang w:eastAsia="el-GR"/>
              </w:rPr>
              <w:t>Η εφαρμογή της υπο-δράσης αφορά σε  προϊόντα ή περιοχές ή κατηγορίες δικαιούχων οι οποίες έχουν προκύψει μέσω της στρατηγικής τοπικής ανάπτυξης και εξειδικεύονται στην αναμορφωμένη πρόταση. Επιπροσθέτως, μπορεί να περιλαμβάνει και τους εκσυγχρονισμούς των επιχειρήσεων με την προϋπόθεση ότι αναφέρεται στο αναμορφωμένο κείμενο.</w:t>
            </w:r>
          </w:p>
        </w:tc>
      </w:tr>
      <w:tr w:rsidR="00E6046D" w:rsidRPr="00223961" w14:paraId="64487E70" w14:textId="77777777" w:rsidTr="009A3BA3">
        <w:trPr>
          <w:trHeight w:val="648"/>
        </w:trPr>
        <w:tc>
          <w:tcPr>
            <w:tcW w:w="1701" w:type="dxa"/>
            <w:vMerge w:val="restart"/>
            <w:shd w:val="clear" w:color="auto" w:fill="auto"/>
            <w:textDirection w:val="btLr"/>
            <w:vAlign w:val="center"/>
            <w:hideMark/>
          </w:tcPr>
          <w:p w14:paraId="105D3D6C" w14:textId="77777777" w:rsidR="00E6046D" w:rsidRPr="009A3BA3" w:rsidRDefault="00E6046D" w:rsidP="00E6046D">
            <w:pPr>
              <w:tabs>
                <w:tab w:val="num" w:pos="142"/>
              </w:tabs>
              <w:spacing w:after="0" w:line="240" w:lineRule="auto"/>
              <w:ind w:left="113" w:right="113"/>
              <w:rPr>
                <w:rFonts w:ascii="Verdana" w:eastAsia="Times New Roman" w:hAnsi="Verdana" w:cs="Calibri"/>
                <w:color w:val="000000"/>
                <w:sz w:val="12"/>
                <w:szCs w:val="12"/>
                <w:lang w:eastAsia="el-GR"/>
              </w:rPr>
            </w:pPr>
            <w:r w:rsidRPr="009A3BA3">
              <w:rPr>
                <w:rFonts w:ascii="Verdana" w:eastAsia="Times New Roman" w:hAnsi="Verdana" w:cs="Calibri"/>
                <w:color w:val="000000"/>
                <w:sz w:val="12"/>
                <w:szCs w:val="12"/>
                <w:lang w:eastAsia="el-GR"/>
              </w:rPr>
              <w:t>19.2.3. Οριζόντια ενίσχυση στην ανάπτυξη /  βελτίωση της επιχειρηματικότητας και ανταγωνιστικότητας της περιοχή εφαρμογής</w:t>
            </w:r>
          </w:p>
        </w:tc>
        <w:tc>
          <w:tcPr>
            <w:tcW w:w="681" w:type="dxa"/>
            <w:vMerge w:val="restart"/>
            <w:shd w:val="clear" w:color="auto" w:fill="auto"/>
            <w:vAlign w:val="center"/>
            <w:hideMark/>
          </w:tcPr>
          <w:p w14:paraId="640A1C58" w14:textId="77777777" w:rsidR="00E6046D" w:rsidRPr="009A3BA3"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9A3BA3">
              <w:rPr>
                <w:rFonts w:ascii="Verdana" w:eastAsia="Times New Roman" w:hAnsi="Verdana" w:cs="Calibri"/>
                <w:color w:val="000000"/>
                <w:sz w:val="16"/>
                <w:szCs w:val="16"/>
                <w:lang w:eastAsia="el-GR"/>
              </w:rPr>
              <w:t>19.2.3.1</w:t>
            </w:r>
          </w:p>
        </w:tc>
        <w:tc>
          <w:tcPr>
            <w:tcW w:w="2296" w:type="dxa"/>
            <w:vMerge w:val="restart"/>
            <w:shd w:val="clear" w:color="auto" w:fill="auto"/>
            <w:vAlign w:val="center"/>
            <w:hideMark/>
          </w:tcPr>
          <w:p w14:paraId="72EE3A13"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Οριζόντια εφαρμογή μεταποίησης, εμπορίας και/ή ανάπτυξης γεωργικών προϊόντων με αποτέλεσμα γεωργικό προϊόν με σκοπό την εξυπηρέτηση των στόχων της τοπικής στρατηγικής.</w:t>
            </w:r>
          </w:p>
        </w:tc>
        <w:tc>
          <w:tcPr>
            <w:tcW w:w="1432" w:type="dxa"/>
            <w:vMerge w:val="restart"/>
            <w:vAlign w:val="center"/>
          </w:tcPr>
          <w:p w14:paraId="3836F080"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άρθρο 17</w:t>
            </w:r>
          </w:p>
          <w:p w14:paraId="2EB5333F"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p w14:paraId="787BBC11"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c>
          <w:tcPr>
            <w:tcW w:w="1276" w:type="dxa"/>
            <w:shd w:val="clear" w:color="auto" w:fill="auto"/>
            <w:vAlign w:val="center"/>
            <w:hideMark/>
          </w:tcPr>
          <w:p w14:paraId="3DEAE39E"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40%</w:t>
            </w:r>
          </w:p>
        </w:tc>
        <w:tc>
          <w:tcPr>
            <w:tcW w:w="2111" w:type="dxa"/>
            <w:shd w:val="clear" w:color="auto" w:fill="auto"/>
            <w:vAlign w:val="center"/>
            <w:hideMark/>
          </w:tcPr>
          <w:p w14:paraId="772AFF95"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παράρτημα ΙΙ</w:t>
            </w:r>
          </w:p>
        </w:tc>
        <w:tc>
          <w:tcPr>
            <w:tcW w:w="1858" w:type="dxa"/>
            <w:shd w:val="clear" w:color="auto" w:fill="auto"/>
            <w:vAlign w:val="center"/>
            <w:hideMark/>
          </w:tcPr>
          <w:p w14:paraId="479BF981"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ΑΤΤΙΚΗ</w:t>
            </w:r>
          </w:p>
        </w:tc>
        <w:tc>
          <w:tcPr>
            <w:tcW w:w="4380" w:type="dxa"/>
            <w:vMerge w:val="restart"/>
          </w:tcPr>
          <w:p w14:paraId="45BFA5CD"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r>
      <w:tr w:rsidR="00E6046D" w:rsidRPr="00223961" w14:paraId="091F07D7" w14:textId="77777777" w:rsidTr="009A3BA3">
        <w:trPr>
          <w:trHeight w:val="905"/>
        </w:trPr>
        <w:tc>
          <w:tcPr>
            <w:tcW w:w="1701" w:type="dxa"/>
            <w:vMerge/>
            <w:vAlign w:val="center"/>
            <w:hideMark/>
          </w:tcPr>
          <w:p w14:paraId="4C278E24" w14:textId="77777777" w:rsidR="00E6046D" w:rsidRPr="00223961" w:rsidRDefault="00E6046D" w:rsidP="00E6046D">
            <w:pPr>
              <w:tabs>
                <w:tab w:val="num" w:pos="142"/>
              </w:tabs>
              <w:spacing w:after="0" w:line="240" w:lineRule="auto"/>
              <w:ind w:left="113" w:right="113"/>
              <w:rPr>
                <w:rFonts w:ascii="Verdana" w:eastAsia="Times New Roman" w:hAnsi="Verdana" w:cs="Calibri"/>
                <w:color w:val="000000"/>
                <w:sz w:val="16"/>
                <w:szCs w:val="16"/>
                <w:lang w:eastAsia="el-GR"/>
              </w:rPr>
            </w:pPr>
          </w:p>
        </w:tc>
        <w:tc>
          <w:tcPr>
            <w:tcW w:w="681" w:type="dxa"/>
            <w:vMerge/>
            <w:vAlign w:val="center"/>
            <w:hideMark/>
          </w:tcPr>
          <w:p w14:paraId="2484D3CC" w14:textId="77777777"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p>
        </w:tc>
        <w:tc>
          <w:tcPr>
            <w:tcW w:w="2296" w:type="dxa"/>
            <w:vMerge/>
            <w:vAlign w:val="center"/>
            <w:hideMark/>
          </w:tcPr>
          <w:p w14:paraId="16BDEEFC" w14:textId="77777777" w:rsidR="00E6046D" w:rsidRPr="00223961" w:rsidRDefault="00E6046D" w:rsidP="00E6046D">
            <w:pPr>
              <w:tabs>
                <w:tab w:val="num" w:pos="142"/>
              </w:tabs>
              <w:spacing w:after="0" w:line="240" w:lineRule="auto"/>
              <w:rPr>
                <w:rFonts w:ascii="Verdana" w:eastAsia="Times New Roman" w:hAnsi="Verdana" w:cs="Calibri"/>
                <w:color w:val="000000"/>
                <w:sz w:val="16"/>
                <w:szCs w:val="16"/>
                <w:lang w:eastAsia="el-GR"/>
              </w:rPr>
            </w:pPr>
          </w:p>
        </w:tc>
        <w:tc>
          <w:tcPr>
            <w:tcW w:w="1432" w:type="dxa"/>
            <w:vMerge/>
            <w:vAlign w:val="center"/>
          </w:tcPr>
          <w:p w14:paraId="0F860407"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c>
          <w:tcPr>
            <w:tcW w:w="1276" w:type="dxa"/>
            <w:shd w:val="clear" w:color="auto" w:fill="auto"/>
            <w:vAlign w:val="center"/>
            <w:hideMark/>
          </w:tcPr>
          <w:p w14:paraId="23554927"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75%</w:t>
            </w:r>
          </w:p>
        </w:tc>
        <w:tc>
          <w:tcPr>
            <w:tcW w:w="2111" w:type="dxa"/>
            <w:shd w:val="clear" w:color="auto" w:fill="auto"/>
            <w:vAlign w:val="center"/>
            <w:hideMark/>
          </w:tcPr>
          <w:p w14:paraId="19E41105"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Κανονισμός (ΕΕ) 1305/2013, παράρτημα ΙΙ</w:t>
            </w:r>
          </w:p>
        </w:tc>
        <w:tc>
          <w:tcPr>
            <w:tcW w:w="1858" w:type="dxa"/>
            <w:shd w:val="clear" w:color="auto" w:fill="auto"/>
            <w:vAlign w:val="center"/>
            <w:hideMark/>
          </w:tcPr>
          <w:p w14:paraId="5D6DBAF7"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r w:rsidRPr="00223961">
              <w:rPr>
                <w:rFonts w:ascii="Verdana" w:eastAsia="Times New Roman" w:hAnsi="Verdana" w:cs="Calibri"/>
                <w:color w:val="000000"/>
                <w:sz w:val="16"/>
                <w:szCs w:val="16"/>
                <w:lang w:eastAsia="el-GR"/>
              </w:rPr>
              <w:t>ΜΙΚΡΑ ΝΗΣΙΑ ΑΙΓΑΙΟΥ (ΚΥΘΗΡΑ – ΑΝΤΙΚΥΘΗΡΑ)</w:t>
            </w:r>
          </w:p>
        </w:tc>
        <w:tc>
          <w:tcPr>
            <w:tcW w:w="4380" w:type="dxa"/>
            <w:vMerge/>
          </w:tcPr>
          <w:p w14:paraId="55AA80E0" w14:textId="77777777" w:rsidR="00E6046D" w:rsidRPr="00223961" w:rsidRDefault="00E6046D" w:rsidP="00E6046D">
            <w:pPr>
              <w:tabs>
                <w:tab w:val="num" w:pos="142"/>
              </w:tabs>
              <w:spacing w:after="0" w:line="240" w:lineRule="auto"/>
              <w:jc w:val="center"/>
              <w:rPr>
                <w:rFonts w:ascii="Verdana" w:eastAsia="Times New Roman" w:hAnsi="Verdana" w:cs="Calibri"/>
                <w:color w:val="000000"/>
                <w:sz w:val="16"/>
                <w:szCs w:val="16"/>
                <w:lang w:eastAsia="el-GR"/>
              </w:rPr>
            </w:pPr>
          </w:p>
        </w:tc>
      </w:tr>
    </w:tbl>
    <w:p w14:paraId="067C7D41" w14:textId="77777777" w:rsidR="00BF76EA" w:rsidRDefault="00BF76EA"/>
    <w:sectPr w:rsidR="00BF76EA" w:rsidSect="00BB6808">
      <w:foot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B3F67" w14:textId="77777777" w:rsidR="004442DE" w:rsidRDefault="004442DE" w:rsidP="00CF1D86">
      <w:pPr>
        <w:spacing w:after="0" w:line="240" w:lineRule="auto"/>
      </w:pPr>
      <w:r>
        <w:separator/>
      </w:r>
    </w:p>
  </w:endnote>
  <w:endnote w:type="continuationSeparator" w:id="0">
    <w:p w14:paraId="17F2AF87" w14:textId="77777777" w:rsidR="004442DE" w:rsidRDefault="004442DE" w:rsidP="00CF1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1"/>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4A0C" w14:textId="6028B509" w:rsidR="00CF1D86" w:rsidRDefault="00F963CA" w:rsidP="00CF1D86">
    <w:pPr>
      <w:pStyle w:val="a4"/>
      <w:jc w:val="center"/>
    </w:pPr>
    <w:r w:rsidRPr="0055194F">
      <w:rPr>
        <w:rStyle w:val="a5"/>
        <w:noProof/>
        <w:sz w:val="14"/>
        <w:szCs w:val="14"/>
        <w:lang w:eastAsia="el-GR"/>
      </w:rPr>
      <w:drawing>
        <wp:inline distT="0" distB="0" distL="0" distR="0" wp14:anchorId="46A8EEA2" wp14:editId="7E74C14D">
          <wp:extent cx="3855720" cy="601980"/>
          <wp:effectExtent l="0" t="0" r="0" b="0"/>
          <wp:docPr id="1"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5720" cy="6019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DD84A" w14:textId="77777777" w:rsidR="004442DE" w:rsidRDefault="004442DE" w:rsidP="00CF1D86">
      <w:pPr>
        <w:spacing w:after="0" w:line="240" w:lineRule="auto"/>
      </w:pPr>
      <w:r>
        <w:separator/>
      </w:r>
    </w:p>
  </w:footnote>
  <w:footnote w:type="continuationSeparator" w:id="0">
    <w:p w14:paraId="1196D6B6" w14:textId="77777777" w:rsidR="004442DE" w:rsidRDefault="004442DE" w:rsidP="00CF1D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DF6"/>
    <w:rsid w:val="00040DF6"/>
    <w:rsid w:val="00053298"/>
    <w:rsid w:val="00140AF3"/>
    <w:rsid w:val="001A1B6C"/>
    <w:rsid w:val="001B23CC"/>
    <w:rsid w:val="00223961"/>
    <w:rsid w:val="002379D6"/>
    <w:rsid w:val="002F25F1"/>
    <w:rsid w:val="0038625B"/>
    <w:rsid w:val="0039292D"/>
    <w:rsid w:val="003F65EC"/>
    <w:rsid w:val="004442DE"/>
    <w:rsid w:val="00581EDE"/>
    <w:rsid w:val="005B11F5"/>
    <w:rsid w:val="005F6228"/>
    <w:rsid w:val="00777B40"/>
    <w:rsid w:val="00790D7C"/>
    <w:rsid w:val="0080519A"/>
    <w:rsid w:val="00864B96"/>
    <w:rsid w:val="008E43B3"/>
    <w:rsid w:val="00992049"/>
    <w:rsid w:val="009A3BA3"/>
    <w:rsid w:val="009E0CB6"/>
    <w:rsid w:val="009E691C"/>
    <w:rsid w:val="00A45CB2"/>
    <w:rsid w:val="00B17DBC"/>
    <w:rsid w:val="00B868A3"/>
    <w:rsid w:val="00BB6808"/>
    <w:rsid w:val="00BC7C73"/>
    <w:rsid w:val="00BF76EA"/>
    <w:rsid w:val="00C72D27"/>
    <w:rsid w:val="00CF1D86"/>
    <w:rsid w:val="00CF6E71"/>
    <w:rsid w:val="00D21BEB"/>
    <w:rsid w:val="00E6046D"/>
    <w:rsid w:val="00F963CA"/>
    <w:rsid w:val="00FC6690"/>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F32395"/>
  <w15:chartTrackingRefBased/>
  <w15:docId w15:val="{E8BC9DB9-C342-4488-A2BD-16D72E29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1D86"/>
    <w:pPr>
      <w:tabs>
        <w:tab w:val="center" w:pos="4153"/>
        <w:tab w:val="right" w:pos="8306"/>
      </w:tabs>
    </w:pPr>
  </w:style>
  <w:style w:type="character" w:customStyle="1" w:styleId="Char">
    <w:name w:val="Κεφαλίδα Char"/>
    <w:link w:val="a3"/>
    <w:uiPriority w:val="99"/>
    <w:rsid w:val="00CF1D86"/>
    <w:rPr>
      <w:sz w:val="22"/>
      <w:szCs w:val="22"/>
      <w:lang w:eastAsia="en-US"/>
    </w:rPr>
  </w:style>
  <w:style w:type="paragraph" w:styleId="a4">
    <w:name w:val="footer"/>
    <w:basedOn w:val="a"/>
    <w:link w:val="Char0"/>
    <w:uiPriority w:val="99"/>
    <w:unhideWhenUsed/>
    <w:rsid w:val="00CF1D86"/>
    <w:pPr>
      <w:tabs>
        <w:tab w:val="center" w:pos="4153"/>
        <w:tab w:val="right" w:pos="8306"/>
      </w:tabs>
    </w:pPr>
  </w:style>
  <w:style w:type="character" w:customStyle="1" w:styleId="Char0">
    <w:name w:val="Υποσέλιδο Char"/>
    <w:link w:val="a4"/>
    <w:uiPriority w:val="99"/>
    <w:rsid w:val="00CF1D86"/>
    <w:rPr>
      <w:sz w:val="22"/>
      <w:szCs w:val="22"/>
      <w:lang w:eastAsia="en-US"/>
    </w:rPr>
  </w:style>
  <w:style w:type="character" w:styleId="a5">
    <w:name w:val="page number"/>
    <w:basedOn w:val="a0"/>
    <w:uiPriority w:val="99"/>
    <w:rsid w:val="00CF1D86"/>
  </w:style>
  <w:style w:type="character" w:styleId="a6">
    <w:name w:val="annotation reference"/>
    <w:uiPriority w:val="99"/>
    <w:semiHidden/>
    <w:unhideWhenUsed/>
    <w:rsid w:val="00A45CB2"/>
    <w:rPr>
      <w:sz w:val="16"/>
      <w:szCs w:val="16"/>
    </w:rPr>
  </w:style>
  <w:style w:type="paragraph" w:styleId="a7">
    <w:name w:val="annotation text"/>
    <w:basedOn w:val="a"/>
    <w:link w:val="Char1"/>
    <w:uiPriority w:val="99"/>
    <w:unhideWhenUsed/>
    <w:rsid w:val="00A45CB2"/>
    <w:rPr>
      <w:sz w:val="20"/>
      <w:szCs w:val="20"/>
    </w:rPr>
  </w:style>
  <w:style w:type="character" w:customStyle="1" w:styleId="Char1">
    <w:name w:val="Κείμενο σχολίου Char"/>
    <w:link w:val="a7"/>
    <w:uiPriority w:val="99"/>
    <w:rsid w:val="00A45CB2"/>
    <w:rPr>
      <w:lang w:eastAsia="en-US"/>
    </w:rPr>
  </w:style>
  <w:style w:type="paragraph" w:styleId="a8">
    <w:name w:val="annotation subject"/>
    <w:basedOn w:val="a7"/>
    <w:next w:val="a7"/>
    <w:link w:val="Char2"/>
    <w:uiPriority w:val="99"/>
    <w:semiHidden/>
    <w:unhideWhenUsed/>
    <w:rsid w:val="00A45CB2"/>
    <w:rPr>
      <w:b/>
      <w:bCs/>
    </w:rPr>
  </w:style>
  <w:style w:type="character" w:customStyle="1" w:styleId="Char2">
    <w:name w:val="Θέμα σχολίου Char"/>
    <w:link w:val="a8"/>
    <w:uiPriority w:val="99"/>
    <w:semiHidden/>
    <w:rsid w:val="00A45CB2"/>
    <w:rPr>
      <w:b/>
      <w:bCs/>
      <w:lang w:eastAsia="en-US"/>
    </w:rPr>
  </w:style>
  <w:style w:type="paragraph" w:styleId="a9">
    <w:name w:val="Title"/>
    <w:basedOn w:val="a"/>
    <w:link w:val="Char3"/>
    <w:qFormat/>
    <w:rsid w:val="00223961"/>
    <w:pPr>
      <w:spacing w:after="0" w:line="360" w:lineRule="auto"/>
      <w:jc w:val="center"/>
    </w:pPr>
    <w:rPr>
      <w:rFonts w:ascii="Arial" w:eastAsia="Times New Roman" w:hAnsi="Arial" w:cs="Arial"/>
      <w:b/>
      <w:bCs/>
      <w:szCs w:val="24"/>
      <w:lang w:eastAsia="el-GR"/>
    </w:rPr>
  </w:style>
  <w:style w:type="character" w:customStyle="1" w:styleId="Char3">
    <w:name w:val="Τίτλος Char"/>
    <w:link w:val="a9"/>
    <w:rsid w:val="00223961"/>
    <w:rPr>
      <w:rFonts w:ascii="Arial" w:eastAsia="Times New Roman" w:hAnsi="Arial" w:cs="Arial"/>
      <w:b/>
      <w:bCs/>
      <w:sz w:val="22"/>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5560">
      <w:bodyDiv w:val="1"/>
      <w:marLeft w:val="0"/>
      <w:marRight w:val="0"/>
      <w:marTop w:val="0"/>
      <w:marBottom w:val="0"/>
      <w:divBdr>
        <w:top w:val="none" w:sz="0" w:space="0" w:color="auto"/>
        <w:left w:val="none" w:sz="0" w:space="0" w:color="auto"/>
        <w:bottom w:val="none" w:sz="0" w:space="0" w:color="auto"/>
        <w:right w:val="none" w:sz="0" w:space="0" w:color="auto"/>
      </w:divBdr>
    </w:div>
    <w:div w:id="178291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1903</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Δίκτυο Δήμων ΠΕ Νήσων Αττικής</cp:lastModifiedBy>
  <cp:revision>2</cp:revision>
  <dcterms:created xsi:type="dcterms:W3CDTF">2023-06-16T12:15:00Z</dcterms:created>
  <dcterms:modified xsi:type="dcterms:W3CDTF">2023-06-16T12:15:00Z</dcterms:modified>
</cp:coreProperties>
</file>